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p>
      <w:pPr>
        <w:adjustRightInd w:val="0"/>
        <w:snapToGrid w:val="0"/>
        <w:spacing w:line="360" w:lineRule="auto"/>
        <w:jc w:val="center"/>
        <w:outlineLvl w:val="0"/>
        <w:rPr>
          <w:rFonts w:hint="eastAsia" w:ascii="仿宋" w:hAnsi="仿宋" w:eastAsia="仿宋" w:cs="仿宋"/>
          <w:sz w:val="72"/>
          <w:szCs w:val="72"/>
        </w:rPr>
      </w:pPr>
      <w:bookmarkStart w:id="1" w:name="_Toc15377425"/>
      <w:bookmarkStart w:id="2" w:name="_Toc15396475"/>
      <w:bookmarkStart w:id="3" w:name="_Toc15396597"/>
      <w:bookmarkStart w:id="4" w:name="_Toc4487"/>
      <w:bookmarkStart w:id="5" w:name="_Toc15378441"/>
      <w:bookmarkStart w:id="6" w:name="_Toc15377193"/>
      <w:bookmarkStart w:id="7" w:name="_Toc15396602"/>
      <w:bookmarkStart w:id="8" w:name="_Toc15377204"/>
      <w:r>
        <w:rPr>
          <w:rFonts w:hint="eastAsia" w:ascii="仿宋" w:hAnsi="仿宋" w:eastAsia="仿宋" w:cs="仿宋"/>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hint="eastAsia" w:ascii="仿宋" w:hAnsi="仿宋" w:eastAsia="仿宋" w:cs="仿宋"/>
          <w:sz w:val="72"/>
          <w:szCs w:val="72"/>
        </w:rPr>
      </w:pPr>
      <w:bookmarkStart w:id="9" w:name="_Toc15377194"/>
      <w:bookmarkStart w:id="10" w:name="_Toc15396476"/>
      <w:bookmarkStart w:id="11" w:name="_Toc31634"/>
      <w:bookmarkStart w:id="12" w:name="_Toc15377426"/>
      <w:bookmarkStart w:id="13" w:name="_Toc15378442"/>
      <w:bookmarkStart w:id="14" w:name="_Toc15396598"/>
      <w:r>
        <w:rPr>
          <w:rFonts w:hint="eastAsia" w:ascii="仿宋" w:hAnsi="仿宋" w:eastAsia="仿宋" w:cs="仿宋"/>
          <w:sz w:val="72"/>
          <w:szCs w:val="72"/>
        </w:rPr>
        <w:t>剑阁县</w:t>
      </w:r>
      <w:bookmarkStart w:id="15" w:name="_Toc15306268"/>
      <w:r>
        <w:rPr>
          <w:rFonts w:hint="eastAsia" w:ascii="仿宋" w:hAnsi="仿宋" w:eastAsia="仿宋" w:cs="仿宋"/>
          <w:sz w:val="72"/>
          <w:szCs w:val="72"/>
          <w:lang w:val="en-US" w:eastAsia="zh-CN"/>
        </w:rPr>
        <w:t>龙源镇卫生院</w:t>
      </w:r>
      <w:r>
        <w:rPr>
          <w:rFonts w:hint="eastAsia" w:ascii="仿宋" w:hAnsi="仿宋" w:eastAsia="仿宋" w:cs="仿宋"/>
          <w:sz w:val="72"/>
          <w:szCs w:val="72"/>
        </w:rPr>
        <w:t>单位决算</w:t>
      </w:r>
      <w:bookmarkEnd w:id="9"/>
      <w:bookmarkEnd w:id="10"/>
      <w:bookmarkEnd w:id="11"/>
      <w:bookmarkEnd w:id="12"/>
      <w:bookmarkEnd w:id="13"/>
      <w:bookmarkEnd w:id="14"/>
      <w:bookmarkEnd w:id="15"/>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w:t>
      </w:r>
      <w:r>
        <w:rPr>
          <w:rFonts w:hint="eastAsia"/>
          <w:lang w:val="en-US" w:eastAsia="zh-CN"/>
        </w:rPr>
        <w:t>:2023</w:t>
      </w:r>
      <w:r>
        <w:rPr>
          <w:rFonts w:hint="eastAsia"/>
        </w:rPr>
        <w:t>年</w:t>
      </w:r>
      <w:bookmarkStart w:id="16" w:name="_Toc15396599"/>
      <w:bookmarkStart w:id="17" w:name="_Toc15377196"/>
      <w:r>
        <w:rPr>
          <w:rFonts w:hint="eastAsia"/>
          <w:lang w:val="en-US" w:eastAsia="zh-CN"/>
        </w:rPr>
        <w:t>10月29日</w:t>
      </w:r>
      <w:r>
        <w:fldChar w:fldCharType="begin"/>
      </w:r>
      <w:r>
        <w:instrText xml:space="preserve">TOC \o "1-9" \h \u </w:instrText>
      </w:r>
      <w:r>
        <w:fldChar w:fldCharType="separate"/>
      </w:r>
    </w:p>
    <w:p>
      <w:pPr>
        <w:pStyle w:val="12"/>
        <w:tabs>
          <w:tab w:val="right" w:leader="dot" w:pos="8306"/>
          <w:tab w:val="clear" w:pos="8296"/>
        </w:tabs>
      </w:pPr>
      <w:bookmarkStart w:id="109" w:name="_GoBack"/>
      <w:r>
        <w:fldChar w:fldCharType="begin"/>
      </w:r>
      <w:r>
        <w:instrText xml:space="preserve"> HYPERLINK \l _Toc2494 </w:instrText>
      </w:r>
      <w:r>
        <w:fldChar w:fldCharType="separate"/>
      </w:r>
      <w:r>
        <w:rPr>
          <w:rFonts w:hint="eastAsia" w:ascii="黑体" w:hAnsi="黑体" w:eastAsia="黑体"/>
        </w:rPr>
        <w:t>第一部分 单位</w:t>
      </w:r>
      <w:r>
        <w:rPr>
          <w:rFonts w:hint="eastAsia" w:ascii="黑体" w:hAnsi="黑体" w:eastAsia="黑体"/>
          <w:bCs w:val="0"/>
        </w:rPr>
        <w:t>概况</w:t>
      </w:r>
      <w:r>
        <w:tab/>
      </w:r>
      <w:r>
        <w:fldChar w:fldCharType="begin"/>
      </w:r>
      <w:r>
        <w:instrText xml:space="preserve"> PAGEREF _Toc2494 </w:instrText>
      </w:r>
      <w:r>
        <w:fldChar w:fldCharType="separate"/>
      </w:r>
      <w:r>
        <w:t>4</w:t>
      </w:r>
      <w:r>
        <w:fldChar w:fldCharType="end"/>
      </w:r>
      <w:r>
        <w:fldChar w:fldCharType="end"/>
      </w:r>
    </w:p>
    <w:bookmarkEnd w:id="109"/>
    <w:p>
      <w:pPr>
        <w:pStyle w:val="13"/>
        <w:tabs>
          <w:tab w:val="right" w:leader="dot" w:pos="8306"/>
          <w:tab w:val="clear" w:pos="8296"/>
        </w:tabs>
      </w:pPr>
    </w:p>
    <w:p>
      <w:pPr>
        <w:pStyle w:val="13"/>
        <w:tabs>
          <w:tab w:val="right" w:leader="dot" w:pos="8306"/>
          <w:tab w:val="clear" w:pos="8296"/>
        </w:tabs>
      </w:pPr>
      <w:r>
        <w:fldChar w:fldCharType="begin"/>
      </w:r>
      <w:r>
        <w:instrText xml:space="preserve"> HYPERLINK \l _Toc4076 </w:instrText>
      </w:r>
      <w:r>
        <w:fldChar w:fldCharType="separate"/>
      </w:r>
      <w:r>
        <w:rPr>
          <w:rFonts w:hint="eastAsia" w:ascii="仿宋" w:hAnsi="仿宋" w:eastAsia="仿宋" w:cs="仿宋"/>
        </w:rPr>
        <w:t>二、 机构设置</w:t>
      </w:r>
      <w:r>
        <w:tab/>
      </w:r>
      <w:r>
        <w:fldChar w:fldCharType="begin"/>
      </w:r>
      <w:r>
        <w:instrText xml:space="preserve"> PAGEREF _Toc4076 </w:instrText>
      </w:r>
      <w:r>
        <w:fldChar w:fldCharType="separate"/>
      </w:r>
      <w:r>
        <w:t>4</w:t>
      </w:r>
      <w:r>
        <w:fldChar w:fldCharType="end"/>
      </w:r>
      <w:r>
        <w:fldChar w:fldCharType="end"/>
      </w:r>
    </w:p>
    <w:p>
      <w:pPr>
        <w:pStyle w:val="12"/>
        <w:tabs>
          <w:tab w:val="right" w:leader="dot" w:pos="8306"/>
          <w:tab w:val="clear" w:pos="8296"/>
        </w:tabs>
      </w:pPr>
      <w:r>
        <w:fldChar w:fldCharType="begin"/>
      </w:r>
      <w:r>
        <w:instrText xml:space="preserve"> HYPERLINK \l _Toc9221 </w:instrText>
      </w:r>
      <w:r>
        <w:fldChar w:fldCharType="separate"/>
      </w:r>
      <w:r>
        <w:rPr>
          <w:rFonts w:hint="eastAsia" w:ascii="黑体" w:hAnsi="黑体" w:eastAsia="黑体"/>
        </w:rPr>
        <w:t>第二部分 2022年度</w:t>
      </w:r>
      <w:r>
        <w:rPr>
          <w:rFonts w:hint="eastAsia" w:ascii="黑体" w:hAnsi="黑体" w:eastAsia="黑体"/>
          <w:bCs/>
        </w:rPr>
        <w:t>单位决算情况说明</w:t>
      </w:r>
      <w:r>
        <w:tab/>
      </w:r>
      <w:r>
        <w:fldChar w:fldCharType="begin"/>
      </w:r>
      <w:r>
        <w:instrText xml:space="preserve"> PAGEREF _Toc9221 </w:instrText>
      </w:r>
      <w:r>
        <w:fldChar w:fldCharType="separate"/>
      </w:r>
      <w:r>
        <w:t>4</w:t>
      </w:r>
      <w:r>
        <w:fldChar w:fldCharType="end"/>
      </w:r>
      <w:r>
        <w:fldChar w:fldCharType="end"/>
      </w:r>
    </w:p>
    <w:p>
      <w:pPr>
        <w:pStyle w:val="13"/>
        <w:tabs>
          <w:tab w:val="right" w:leader="dot" w:pos="8306"/>
          <w:tab w:val="clear" w:pos="8296"/>
        </w:tabs>
      </w:pPr>
      <w:r>
        <w:fldChar w:fldCharType="begin"/>
      </w:r>
      <w:r>
        <w:instrText xml:space="preserve"> HYPERLINK \l _Toc1891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_Toc1891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_Toc10868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_Toc10868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_Toc9439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_Toc9439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_Toc23638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_Toc23638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_Toc23481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_Toc23481 </w:instrText>
      </w:r>
      <w:r>
        <w:fldChar w:fldCharType="separate"/>
      </w:r>
      <w:r>
        <w:t>6</w:t>
      </w:r>
      <w:r>
        <w:fldChar w:fldCharType="end"/>
      </w:r>
      <w:r>
        <w:fldChar w:fldCharType="end"/>
      </w:r>
    </w:p>
    <w:p>
      <w:pPr>
        <w:pStyle w:val="7"/>
        <w:tabs>
          <w:tab w:val="right" w:leader="dot" w:pos="8306"/>
          <w:tab w:val="clear" w:pos="8296"/>
        </w:tabs>
      </w:pPr>
      <w:r>
        <w:fldChar w:fldCharType="begin"/>
      </w:r>
      <w:r>
        <w:instrText xml:space="preserve"> HYPERLINK \l _Toc22560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_Toc22560 </w:instrText>
      </w:r>
      <w:r>
        <w:fldChar w:fldCharType="separate"/>
      </w:r>
      <w:r>
        <w:t>6</w:t>
      </w:r>
      <w:r>
        <w:fldChar w:fldCharType="end"/>
      </w:r>
      <w:r>
        <w:fldChar w:fldCharType="end"/>
      </w:r>
    </w:p>
    <w:p>
      <w:pPr>
        <w:pStyle w:val="7"/>
        <w:tabs>
          <w:tab w:val="right" w:leader="dot" w:pos="8306"/>
          <w:tab w:val="clear" w:pos="8296"/>
        </w:tabs>
      </w:pPr>
      <w:r>
        <w:fldChar w:fldCharType="begin"/>
      </w:r>
      <w:r>
        <w:instrText xml:space="preserve"> HYPERLINK \l _Toc9126 </w:instrText>
      </w:r>
      <w:r>
        <w:fldChar w:fldCharType="separate"/>
      </w:r>
      <w:r>
        <w:rPr>
          <w:rFonts w:hint="eastAsia" w:ascii="仿宋" w:hAnsi="仿宋" w:eastAsia="仿宋"/>
          <w:szCs w:val="32"/>
        </w:rPr>
        <w:t>（二）一般公共预算财政拨款支出决算结构情况</w:t>
      </w:r>
      <w:r>
        <w:tab/>
      </w:r>
      <w:r>
        <w:fldChar w:fldCharType="begin"/>
      </w:r>
      <w:r>
        <w:instrText xml:space="preserve"> PAGEREF _Toc9126 </w:instrText>
      </w:r>
      <w:r>
        <w:fldChar w:fldCharType="separate"/>
      </w:r>
      <w:r>
        <w:t>7</w:t>
      </w:r>
      <w:r>
        <w:fldChar w:fldCharType="end"/>
      </w:r>
      <w:r>
        <w:fldChar w:fldCharType="end"/>
      </w:r>
    </w:p>
    <w:p>
      <w:pPr>
        <w:pStyle w:val="7"/>
        <w:tabs>
          <w:tab w:val="right" w:leader="dot" w:pos="8306"/>
          <w:tab w:val="clear" w:pos="8296"/>
        </w:tabs>
      </w:pPr>
      <w:r>
        <w:fldChar w:fldCharType="begin"/>
      </w:r>
      <w:r>
        <w:instrText xml:space="preserve"> HYPERLINK \l _Toc11664 </w:instrText>
      </w:r>
      <w:r>
        <w:fldChar w:fldCharType="separate"/>
      </w:r>
      <w:r>
        <w:rPr>
          <w:rFonts w:hint="eastAsia" w:ascii="仿宋" w:hAnsi="仿宋" w:eastAsia="仿宋"/>
          <w:szCs w:val="32"/>
        </w:rPr>
        <w:t>（三）一般公共预算财政拨款支出决算具体情况</w:t>
      </w:r>
      <w:r>
        <w:tab/>
      </w:r>
      <w:r>
        <w:fldChar w:fldCharType="begin"/>
      </w:r>
      <w:r>
        <w:instrText xml:space="preserve"> PAGEREF _Toc11664 </w:instrText>
      </w:r>
      <w:r>
        <w:fldChar w:fldCharType="separate"/>
      </w:r>
      <w:r>
        <w:t>7</w:t>
      </w:r>
      <w:r>
        <w:fldChar w:fldCharType="end"/>
      </w:r>
      <w:r>
        <w:fldChar w:fldCharType="end"/>
      </w:r>
    </w:p>
    <w:p>
      <w:pPr>
        <w:pStyle w:val="13"/>
        <w:tabs>
          <w:tab w:val="right" w:leader="dot" w:pos="8306"/>
          <w:tab w:val="clear" w:pos="8296"/>
        </w:tabs>
      </w:pPr>
      <w:r>
        <w:fldChar w:fldCharType="begin"/>
      </w:r>
      <w:r>
        <w:instrText xml:space="preserve"> HYPERLINK \l _Toc25811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_Toc25811 </w:instrText>
      </w:r>
      <w:r>
        <w:fldChar w:fldCharType="separate"/>
      </w:r>
      <w:r>
        <w:t>8</w:t>
      </w:r>
      <w:r>
        <w:fldChar w:fldCharType="end"/>
      </w:r>
      <w:r>
        <w:fldChar w:fldCharType="end"/>
      </w:r>
    </w:p>
    <w:p>
      <w:pPr>
        <w:pStyle w:val="13"/>
        <w:tabs>
          <w:tab w:val="right" w:leader="dot" w:pos="8306"/>
          <w:tab w:val="clear" w:pos="8296"/>
        </w:tabs>
      </w:pPr>
      <w:r>
        <w:fldChar w:fldCharType="begin"/>
      </w:r>
      <w:r>
        <w:instrText xml:space="preserve"> HYPERLINK \l _Toc31352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_Toc31352 </w:instrText>
      </w:r>
      <w:r>
        <w:fldChar w:fldCharType="separate"/>
      </w:r>
      <w:r>
        <w:t>8</w:t>
      </w:r>
      <w:r>
        <w:fldChar w:fldCharType="end"/>
      </w:r>
      <w:r>
        <w:fldChar w:fldCharType="end"/>
      </w:r>
    </w:p>
    <w:p>
      <w:pPr>
        <w:pStyle w:val="7"/>
        <w:tabs>
          <w:tab w:val="right" w:leader="dot" w:pos="8306"/>
          <w:tab w:val="clear" w:pos="8296"/>
        </w:tabs>
      </w:pPr>
      <w:r>
        <w:fldChar w:fldCharType="begin"/>
      </w:r>
      <w:r>
        <w:instrText xml:space="preserve"> HYPERLINK \l _Toc9113 </w:instrText>
      </w:r>
      <w:r>
        <w:fldChar w:fldCharType="separate"/>
      </w:r>
      <w:r>
        <w:rPr>
          <w:rFonts w:hint="eastAsia" w:ascii="仿宋" w:hAnsi="仿宋" w:eastAsia="仿宋"/>
          <w:szCs w:val="32"/>
        </w:rPr>
        <w:t>（一）“三公”经费财政拨款支出决算总体情况说明</w:t>
      </w:r>
      <w:r>
        <w:tab/>
      </w:r>
      <w:r>
        <w:fldChar w:fldCharType="begin"/>
      </w:r>
      <w:r>
        <w:instrText xml:space="preserve"> PAGEREF _Toc9113 </w:instrText>
      </w:r>
      <w:r>
        <w:fldChar w:fldCharType="separate"/>
      </w:r>
      <w:r>
        <w:t>8</w:t>
      </w:r>
      <w:r>
        <w:fldChar w:fldCharType="end"/>
      </w:r>
      <w:r>
        <w:fldChar w:fldCharType="end"/>
      </w:r>
    </w:p>
    <w:p>
      <w:pPr>
        <w:pStyle w:val="7"/>
        <w:tabs>
          <w:tab w:val="right" w:leader="dot" w:pos="8306"/>
          <w:tab w:val="clear" w:pos="8296"/>
        </w:tabs>
      </w:pPr>
      <w:r>
        <w:fldChar w:fldCharType="begin"/>
      </w:r>
      <w:r>
        <w:instrText xml:space="preserve"> HYPERLINK \l _Toc22778 </w:instrText>
      </w:r>
      <w:r>
        <w:fldChar w:fldCharType="separate"/>
      </w:r>
      <w:r>
        <w:rPr>
          <w:rFonts w:hint="eastAsia" w:ascii="仿宋" w:hAnsi="仿宋" w:eastAsia="仿宋"/>
          <w:szCs w:val="32"/>
        </w:rPr>
        <w:t>（二）“三公”经费财政拨款支出决算具体情况说明</w:t>
      </w:r>
      <w:r>
        <w:tab/>
      </w:r>
      <w:r>
        <w:fldChar w:fldCharType="begin"/>
      </w:r>
      <w:r>
        <w:instrText xml:space="preserve"> PAGEREF _Toc22778 </w:instrText>
      </w:r>
      <w:r>
        <w:fldChar w:fldCharType="separate"/>
      </w:r>
      <w:r>
        <w:t>9</w:t>
      </w:r>
      <w:r>
        <w:fldChar w:fldCharType="end"/>
      </w:r>
      <w:r>
        <w:fldChar w:fldCharType="end"/>
      </w:r>
    </w:p>
    <w:p>
      <w:pPr>
        <w:pStyle w:val="13"/>
        <w:tabs>
          <w:tab w:val="right" w:leader="dot" w:pos="8306"/>
          <w:tab w:val="clear" w:pos="8296"/>
        </w:tabs>
      </w:pPr>
      <w:r>
        <w:fldChar w:fldCharType="begin"/>
      </w:r>
      <w:r>
        <w:instrText xml:space="preserve"> HYPERLINK \l _Toc6587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_Toc6587 </w:instrText>
      </w:r>
      <w:r>
        <w:fldChar w:fldCharType="separate"/>
      </w:r>
      <w:r>
        <w:t>10</w:t>
      </w:r>
      <w:r>
        <w:fldChar w:fldCharType="end"/>
      </w:r>
      <w:r>
        <w:fldChar w:fldCharType="end"/>
      </w:r>
    </w:p>
    <w:p>
      <w:pPr>
        <w:pStyle w:val="13"/>
        <w:tabs>
          <w:tab w:val="right" w:leader="dot" w:pos="8306"/>
          <w:tab w:val="clear" w:pos="8296"/>
        </w:tabs>
      </w:pPr>
      <w:r>
        <w:fldChar w:fldCharType="begin"/>
      </w:r>
      <w:r>
        <w:instrText xml:space="preserve"> HYPERLINK \l _Toc6964 </w:instrText>
      </w:r>
      <w:r>
        <w:fldChar w:fldCharType="separate"/>
      </w:r>
      <w:r>
        <w:rPr>
          <w:rFonts w:hint="eastAsia" w:ascii="黑体" w:hAnsi="黑体" w:eastAsia="黑体"/>
        </w:rPr>
        <w:t>九、 国有资本经营预算支出决算情况说明</w:t>
      </w:r>
      <w:r>
        <w:tab/>
      </w:r>
      <w:r>
        <w:fldChar w:fldCharType="begin"/>
      </w:r>
      <w:r>
        <w:instrText xml:space="preserve"> PAGEREF _Toc6964 </w:instrText>
      </w:r>
      <w:r>
        <w:fldChar w:fldCharType="separate"/>
      </w:r>
      <w:r>
        <w:t>10</w:t>
      </w:r>
      <w:r>
        <w:fldChar w:fldCharType="end"/>
      </w:r>
      <w:r>
        <w:fldChar w:fldCharType="end"/>
      </w:r>
    </w:p>
    <w:p>
      <w:pPr>
        <w:pStyle w:val="13"/>
        <w:tabs>
          <w:tab w:val="right" w:leader="dot" w:pos="8306"/>
          <w:tab w:val="clear" w:pos="8296"/>
        </w:tabs>
      </w:pPr>
      <w:r>
        <w:fldChar w:fldCharType="begin"/>
      </w:r>
      <w:r>
        <w:instrText xml:space="preserve"> HYPERLINK \l _Toc22600 </w:instrText>
      </w:r>
      <w:r>
        <w:fldChar w:fldCharType="separate"/>
      </w:r>
      <w:r>
        <w:rPr>
          <w:rFonts w:hint="eastAsia" w:ascii="黑体" w:hAnsi="黑体" w:eastAsia="黑体"/>
        </w:rPr>
        <w:t>十、 其他重要事项的情况说明</w:t>
      </w:r>
      <w:r>
        <w:tab/>
      </w:r>
      <w:r>
        <w:fldChar w:fldCharType="begin"/>
      </w:r>
      <w:r>
        <w:instrText xml:space="preserve"> PAGEREF _Toc22600 </w:instrText>
      </w:r>
      <w:r>
        <w:fldChar w:fldCharType="separate"/>
      </w:r>
      <w:r>
        <w:t>10</w:t>
      </w:r>
      <w:r>
        <w:fldChar w:fldCharType="end"/>
      </w:r>
      <w:r>
        <w:fldChar w:fldCharType="end"/>
      </w:r>
    </w:p>
    <w:p>
      <w:pPr>
        <w:pStyle w:val="7"/>
        <w:tabs>
          <w:tab w:val="right" w:leader="dot" w:pos="8306"/>
          <w:tab w:val="clear" w:pos="8296"/>
        </w:tabs>
      </w:pPr>
      <w:r>
        <w:fldChar w:fldCharType="begin"/>
      </w:r>
      <w:r>
        <w:instrText xml:space="preserve"> HYPERLINK \l _Toc30338 </w:instrText>
      </w:r>
      <w:r>
        <w:fldChar w:fldCharType="separate"/>
      </w:r>
      <w:r>
        <w:rPr>
          <w:rFonts w:hint="eastAsia" w:ascii="仿宋" w:hAnsi="仿宋" w:eastAsia="仿宋"/>
          <w:szCs w:val="32"/>
        </w:rPr>
        <w:t>（一）机关运行经费支出情况</w:t>
      </w:r>
      <w:r>
        <w:tab/>
      </w:r>
      <w:r>
        <w:fldChar w:fldCharType="begin"/>
      </w:r>
      <w:r>
        <w:instrText xml:space="preserve"> PAGEREF _Toc30338 </w:instrText>
      </w:r>
      <w:r>
        <w:fldChar w:fldCharType="separate"/>
      </w:r>
      <w:r>
        <w:t>10</w:t>
      </w:r>
      <w:r>
        <w:fldChar w:fldCharType="end"/>
      </w:r>
      <w:r>
        <w:fldChar w:fldCharType="end"/>
      </w:r>
    </w:p>
    <w:p>
      <w:pPr>
        <w:pStyle w:val="7"/>
        <w:tabs>
          <w:tab w:val="right" w:leader="dot" w:pos="8306"/>
          <w:tab w:val="clear" w:pos="8296"/>
        </w:tabs>
      </w:pPr>
      <w:r>
        <w:fldChar w:fldCharType="begin"/>
      </w:r>
      <w:r>
        <w:instrText xml:space="preserve"> HYPERLINK \l _Toc3489 </w:instrText>
      </w:r>
      <w:r>
        <w:fldChar w:fldCharType="separate"/>
      </w:r>
      <w:r>
        <w:rPr>
          <w:rFonts w:hint="eastAsia" w:ascii="仿宋" w:hAnsi="仿宋" w:eastAsia="仿宋"/>
          <w:szCs w:val="32"/>
        </w:rPr>
        <w:t>（二）政府采购支出情况</w:t>
      </w:r>
      <w:r>
        <w:tab/>
      </w:r>
      <w:r>
        <w:fldChar w:fldCharType="begin"/>
      </w:r>
      <w:r>
        <w:instrText xml:space="preserve"> PAGEREF _Toc3489 </w:instrText>
      </w:r>
      <w:r>
        <w:fldChar w:fldCharType="separate"/>
      </w:r>
      <w:r>
        <w:t>11</w:t>
      </w:r>
      <w:r>
        <w:fldChar w:fldCharType="end"/>
      </w:r>
      <w:r>
        <w:fldChar w:fldCharType="end"/>
      </w:r>
    </w:p>
    <w:p>
      <w:pPr>
        <w:pStyle w:val="7"/>
        <w:tabs>
          <w:tab w:val="right" w:leader="dot" w:pos="8306"/>
          <w:tab w:val="clear" w:pos="8296"/>
        </w:tabs>
      </w:pPr>
      <w:r>
        <w:fldChar w:fldCharType="begin"/>
      </w:r>
      <w:r>
        <w:instrText xml:space="preserve"> HYPERLINK \l _Toc23632 </w:instrText>
      </w:r>
      <w:r>
        <w:fldChar w:fldCharType="separate"/>
      </w:r>
      <w:r>
        <w:rPr>
          <w:rFonts w:hint="eastAsia" w:ascii="仿宋" w:hAnsi="仿宋" w:eastAsia="仿宋"/>
          <w:szCs w:val="32"/>
        </w:rPr>
        <w:t>（三）国有资产占有使用情况</w:t>
      </w:r>
      <w:r>
        <w:tab/>
      </w:r>
      <w:r>
        <w:fldChar w:fldCharType="begin"/>
      </w:r>
      <w:r>
        <w:instrText xml:space="preserve"> PAGEREF _Toc23632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_Toc943 </w:instrText>
      </w:r>
      <w: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_Toc943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_Toc5692 </w:instrText>
      </w:r>
      <w:r>
        <w:fldChar w:fldCharType="separate"/>
      </w:r>
      <w:r>
        <w:rPr>
          <w:rFonts w:hint="eastAsia" w:ascii="黑体" w:hAnsi="黑体" w:eastAsia="黑体"/>
          <w:szCs w:val="44"/>
        </w:rPr>
        <w:t>第</w:t>
      </w:r>
      <w:r>
        <w:rPr>
          <w:rFonts w:hint="eastAsia" w:ascii="黑体" w:hAnsi="黑体" w:eastAsia="黑体"/>
          <w:lang w:eastAsia="zh-CN"/>
        </w:rPr>
        <w:t>四</w:t>
      </w:r>
      <w:r>
        <w:rPr>
          <w:rFonts w:hint="eastAsia" w:ascii="黑体" w:hAnsi="黑体" w:eastAsia="黑体"/>
        </w:rPr>
        <w:t>部分 附表</w:t>
      </w:r>
      <w:r>
        <w:tab/>
      </w:r>
      <w:r>
        <w:fldChar w:fldCharType="begin"/>
      </w:r>
      <w:r>
        <w:instrText xml:space="preserve"> PAGEREF _Toc5692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_Toc21328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_Toc21328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_Toc32041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_Toc32041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_Toc24081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_Toc24081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_Toc23283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_Toc23283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_Toc5296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_Toc5296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_Toc26819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_Toc26819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_Toc29018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_Toc29018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_Toc28434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_Toc28434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_Toc32161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_Toc32161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_Toc4160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_Toc4160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_Toc23854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_Toc23854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_Toc26867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_Toc26867 </w:instrText>
      </w:r>
      <w:r>
        <w:fldChar w:fldCharType="separate"/>
      </w:r>
      <w:r>
        <w:t>14</w:t>
      </w:r>
      <w:r>
        <w:fldChar w:fldCharType="end"/>
      </w:r>
      <w:r>
        <w:fldChar w:fldCharType="end"/>
      </w:r>
    </w:p>
    <w:p>
      <w:pPr>
        <w:pStyle w:val="13"/>
        <w:tabs>
          <w:tab w:val="right" w:leader="dot" w:pos="8306"/>
          <w:tab w:val="clear" w:pos="8296"/>
        </w:tabs>
      </w:pPr>
      <w:r>
        <w:fldChar w:fldCharType="begin"/>
      </w:r>
      <w:r>
        <w:instrText xml:space="preserve"> HYPERLINK \l _Toc11050 </w:instrText>
      </w:r>
      <w:r>
        <w:fldChar w:fldCharType="separate"/>
      </w:r>
      <w:r>
        <w:rPr>
          <w:rFonts w:hint="eastAsia" w:ascii="仿宋" w:hAnsi="仿宋" w:eastAsia="仿宋"/>
          <w:bCs w:val="0"/>
        </w:rPr>
        <w:t>十三、财政拨款“三公”经费支出决算表</w:t>
      </w:r>
      <w:r>
        <w:tab/>
      </w:r>
      <w:r>
        <w:fldChar w:fldCharType="begin"/>
      </w:r>
      <w:r>
        <w:instrText xml:space="preserve"> PAGEREF _Toc11050 </w:instrText>
      </w:r>
      <w:r>
        <w:fldChar w:fldCharType="separate"/>
      </w:r>
      <w:r>
        <w:t>14</w:t>
      </w:r>
      <w:r>
        <w:fldChar w:fldCharType="end"/>
      </w:r>
      <w:r>
        <w:fldChar w:fldCharType="end"/>
      </w:r>
    </w:p>
    <w:p>
      <w:r>
        <w:fldChar w:fldCharType="end"/>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Style w:val="29"/>
          <w:rFonts w:ascii="黑体" w:hAnsi="黑体" w:eastAsia="黑体"/>
          <w:b/>
          <w:bCs w:val="0"/>
        </w:rPr>
      </w:pPr>
      <w:bookmarkStart w:id="18" w:name="_Toc2494"/>
      <w:r>
        <w:rPr>
          <w:rFonts w:hint="eastAsia" w:ascii="黑体" w:hAnsi="黑体" w:eastAsia="黑体"/>
          <w:b w:val="0"/>
        </w:rPr>
        <w:t>第一部分 单位</w:t>
      </w:r>
      <w:r>
        <w:rPr>
          <w:rStyle w:val="29"/>
          <w:rFonts w:hint="eastAsia" w:ascii="黑体" w:hAnsi="黑体" w:eastAsia="黑体"/>
          <w:b w:val="0"/>
          <w:bCs w:val="0"/>
        </w:rPr>
        <w:t>概况</w:t>
      </w:r>
      <w:bookmarkEnd w:id="16"/>
      <w:bookmarkEnd w:id="17"/>
      <w:bookmarkEnd w:id="18"/>
    </w:p>
    <w:p>
      <w:pPr>
        <w:widowControl/>
        <w:jc w:val="left"/>
        <w:rPr>
          <w:rFonts w:ascii="黑体" w:eastAsia="黑体"/>
          <w:sz w:val="32"/>
          <w:szCs w:val="32"/>
        </w:rPr>
      </w:pPr>
    </w:p>
    <w:p>
      <w:pPr>
        <w:pStyle w:val="4"/>
        <w:numPr>
          <w:ilvl w:val="0"/>
          <w:numId w:val="1"/>
        </w:numPr>
        <w:rPr>
          <w:rStyle w:val="30"/>
          <w:rFonts w:ascii="黑体" w:hAnsi="黑体" w:eastAsia="黑体"/>
          <w:b w:val="0"/>
          <w:bCs w:val="0"/>
        </w:rPr>
      </w:pPr>
      <w:bookmarkStart w:id="19" w:name="_Toc11523"/>
      <w:bookmarkStart w:id="20" w:name="_Toc15377197"/>
      <w:bookmarkStart w:id="21" w:name="_Toc15396600"/>
      <w:r>
        <w:rPr>
          <w:rStyle w:val="30"/>
          <w:rFonts w:hint="eastAsia" w:ascii="黑体" w:hAnsi="黑体" w:eastAsia="黑体"/>
          <w:b w:val="0"/>
          <w:bCs w:val="0"/>
        </w:rPr>
        <w:t>主要职责</w:t>
      </w:r>
      <w:bookmarkEnd w:id="19"/>
    </w:p>
    <w:p>
      <w:pPr>
        <w:pStyle w:val="4"/>
        <w:numPr>
          <w:ilvl w:val="0"/>
          <w:numId w:val="0"/>
        </w:numPr>
        <w:ind w:firstLine="640" w:firstLineChars="200"/>
        <w:rPr>
          <w:rFonts w:hint="eastAsia" w:ascii="仿宋" w:hAnsi="仿宋" w:eastAsia="仿宋" w:cs="仿宋"/>
          <w:b w:val="0"/>
          <w:bCs w:val="0"/>
          <w:sz w:val="32"/>
          <w:szCs w:val="32"/>
          <w:lang w:val="en-US" w:eastAsia="zh-CN"/>
        </w:rPr>
      </w:pPr>
      <w:bookmarkStart w:id="22" w:name="_Toc456"/>
      <w:r>
        <w:rPr>
          <w:rFonts w:hint="eastAsia" w:ascii="仿宋" w:hAnsi="仿宋" w:eastAsia="仿宋" w:cs="仿宋"/>
          <w:b w:val="0"/>
          <w:bCs w:val="0"/>
          <w:sz w:val="32"/>
          <w:szCs w:val="32"/>
          <w:lang w:val="en-US" w:eastAsia="zh-CN"/>
        </w:rPr>
        <w:t>剑阁县龙源卫生院一所，一般卫生院下设分院1个，卫生院是一所集医疗、预防保健为一体的一级乙等卫生院，医院建筑面积 3410 平方米，开放病床25张。现有在职职工27人，其中有高级职称 1 人，中级职称 2人，初级职称 23 人，其他1人，门诊部设有中西医内、儿、妇、外、口腔、五官等临床科室，开设有B超、心电、放射、化验、检查等医技科室。彩色脑血管多普勒、B超、心电图机、血糖仪、全自动生化仪、尿液分析仪、血球计数分析仪、仪等大中型诊疗设备，各类诊疗设备共30余台件。</w:t>
      </w:r>
      <w:bookmarkEnd w:id="22"/>
    </w:p>
    <w:p>
      <w:pPr>
        <w:pStyle w:val="4"/>
        <w:numPr>
          <w:ilvl w:val="0"/>
          <w:numId w:val="1"/>
        </w:numPr>
        <w:ind w:left="0" w:leftChars="0" w:firstLine="0" w:firstLineChars="0"/>
        <w:rPr>
          <w:rFonts w:hint="eastAsia" w:ascii="仿宋" w:hAnsi="仿宋" w:eastAsia="仿宋" w:cs="仿宋"/>
          <w:b w:val="0"/>
        </w:rPr>
      </w:pPr>
      <w:bookmarkStart w:id="23" w:name="_Toc4076"/>
      <w:r>
        <w:rPr>
          <w:rFonts w:hint="eastAsia" w:ascii="仿宋" w:hAnsi="仿宋" w:eastAsia="仿宋" w:cs="仿宋"/>
          <w:b w:val="0"/>
        </w:rPr>
        <w:t>机构设置</w:t>
      </w:r>
      <w:bookmarkEnd w:id="23"/>
    </w:p>
    <w:bookmarkEnd w:id="20"/>
    <w:bookmarkEnd w:id="21"/>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sz w:val="32"/>
          <w:szCs w:val="32"/>
          <w:highlight w:val="none"/>
          <w:lang w:val="en-US" w:eastAsia="zh-CN"/>
        </w:rPr>
      </w:pPr>
      <w:bookmarkStart w:id="24" w:name="_Toc9221"/>
      <w:r>
        <w:rPr>
          <w:rFonts w:hint="eastAsia" w:ascii="仿宋" w:hAnsi="仿宋" w:eastAsia="仿宋"/>
          <w:sz w:val="32"/>
          <w:szCs w:val="32"/>
          <w:highlight w:val="none"/>
        </w:rPr>
        <w:t>剑阁县</w:t>
      </w:r>
      <w:r>
        <w:rPr>
          <w:rFonts w:hint="eastAsia" w:ascii="仿宋" w:hAnsi="仿宋" w:eastAsia="仿宋"/>
          <w:sz w:val="32"/>
          <w:szCs w:val="32"/>
          <w:highlight w:val="none"/>
          <w:lang w:val="en-US" w:eastAsia="zh-CN"/>
        </w:rPr>
        <w:t>龙源镇</w:t>
      </w:r>
      <w:r>
        <w:rPr>
          <w:rFonts w:hint="eastAsia" w:ascii="仿宋" w:hAnsi="仿宋" w:eastAsia="仿宋"/>
          <w:sz w:val="32"/>
          <w:szCs w:val="32"/>
          <w:highlight w:val="none"/>
          <w:lang w:eastAsia="zh-CN"/>
        </w:rPr>
        <w:t>卫生院</w:t>
      </w:r>
      <w:r>
        <w:rPr>
          <w:rFonts w:hint="eastAsia" w:ascii="仿宋" w:hAnsi="仿宋" w:eastAsia="仿宋"/>
          <w:sz w:val="32"/>
          <w:szCs w:val="32"/>
          <w:highlight w:val="none"/>
          <w:lang w:val="en-US" w:eastAsia="zh-CN"/>
        </w:rPr>
        <w:t>科室设置坚持精简效能、因地制宜、便于管理原则。</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办公室：负责人员、财务、信息、设备、后勤工作的组织协调和管理。</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门诊部：负责常见病、多发病的诊疗、康复医疗和建立健康档案，下设急诊室，内、外、妇、儿等诊室，慢病门诊、感染性门诊、心电图室、中西药房等。</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住院部：负责常见病、多发病的住院治疗。按照服务人口配备住院床位，设有专用的传染病隔离观察室。</w:t>
      </w:r>
    </w:p>
    <w:p>
      <w:pPr>
        <w:pStyle w:val="3"/>
        <w:ind w:right="440"/>
        <w:jc w:val="center"/>
        <w:rPr>
          <w:rStyle w:val="29"/>
          <w:rFonts w:ascii="黑体" w:hAnsi="黑体" w:eastAsia="黑体"/>
          <w:b w:val="0"/>
          <w:bCs/>
        </w:rPr>
      </w:pPr>
      <w:r>
        <w:rPr>
          <w:rFonts w:hint="eastAsia" w:ascii="黑体" w:hAnsi="黑体" w:eastAsia="黑体"/>
          <w:b w:val="0"/>
        </w:rPr>
        <w:t>第二部分 2022年度</w:t>
      </w:r>
      <w:r>
        <w:rPr>
          <w:rStyle w:val="29"/>
          <w:rFonts w:hint="eastAsia" w:ascii="黑体" w:hAnsi="黑体" w:eastAsia="黑体"/>
          <w:b w:val="0"/>
          <w:bCs/>
        </w:rPr>
        <w:t>单位决算情况说明</w:t>
      </w:r>
      <w:bookmarkEnd w:id="7"/>
      <w:bookmarkEnd w:id="8"/>
      <w:bookmarkEnd w:id="24"/>
    </w:p>
    <w:p/>
    <w:p>
      <w:pPr>
        <w:pStyle w:val="28"/>
        <w:numPr>
          <w:ilvl w:val="0"/>
          <w:numId w:val="2"/>
        </w:numPr>
        <w:spacing w:line="600" w:lineRule="exact"/>
        <w:ind w:firstLineChars="0"/>
        <w:outlineLvl w:val="1"/>
        <w:rPr>
          <w:rStyle w:val="30"/>
          <w:rFonts w:ascii="黑体" w:hAnsi="黑体" w:eastAsia="黑体"/>
          <w:b w:val="0"/>
        </w:rPr>
      </w:pPr>
      <w:bookmarkStart w:id="25" w:name="_Toc15396603"/>
      <w:bookmarkStart w:id="26" w:name="_Toc15377205"/>
      <w:bookmarkStart w:id="27" w:name="_Toc1891"/>
      <w:r>
        <w:rPr>
          <w:rFonts w:hint="eastAsia" w:ascii="黑体" w:hAnsi="黑体" w:eastAsia="黑体"/>
          <w:sz w:val="32"/>
          <w:szCs w:val="32"/>
        </w:rPr>
        <w:t>收</w:t>
      </w:r>
      <w:r>
        <w:rPr>
          <w:rStyle w:val="30"/>
          <w:rFonts w:hint="eastAsia" w:ascii="黑体" w:hAnsi="黑体" w:eastAsia="黑体"/>
          <w:b w:val="0"/>
        </w:rPr>
        <w:t>入支出决算总体情况说明</w:t>
      </w:r>
      <w:bookmarkEnd w:id="25"/>
      <w:bookmarkEnd w:id="26"/>
      <w:bookmarkEnd w:id="27"/>
    </w:p>
    <w:p>
      <w:pPr>
        <w:pStyle w:val="2"/>
        <w:rPr>
          <w:rFonts w:hint="eastAsia" w:ascii="仿宋_GB2312" w:eastAsia="仿宋_GB2312"/>
          <w:sz w:val="32"/>
          <w:szCs w:val="32"/>
          <w:lang w:eastAsia="zh-CN"/>
        </w:rPr>
      </w:pPr>
      <w:r>
        <w:rPr>
          <w:rFonts w:hint="eastAsia" w:ascii="仿宋" w:hAnsi="仿宋" w:eastAsia="仿宋"/>
          <w:sz w:val="32"/>
          <w:szCs w:val="32"/>
        </w:rPr>
        <w:t>2022年度收、支总计</w:t>
      </w:r>
      <w:r>
        <w:rPr>
          <w:rFonts w:hint="eastAsia" w:ascii="仿宋" w:hAnsi="仿宋" w:eastAsia="仿宋"/>
          <w:sz w:val="32"/>
          <w:szCs w:val="32"/>
          <w:lang w:val="en-US" w:eastAsia="zh-CN"/>
        </w:rPr>
        <w:t>557.35</w:t>
      </w:r>
      <w:r>
        <w:rPr>
          <w:rFonts w:hint="eastAsia" w:ascii="仿宋" w:hAnsi="仿宋" w:eastAsia="仿宋"/>
          <w:sz w:val="32"/>
          <w:szCs w:val="32"/>
        </w:rPr>
        <w:t>万元。</w:t>
      </w:r>
      <w:r>
        <w:rPr>
          <w:rFonts w:hint="eastAsia" w:ascii="仿宋" w:hAnsi="仿宋" w:eastAsia="仿宋" w:cs="仿宋"/>
          <w:sz w:val="32"/>
          <w:szCs w:val="32"/>
        </w:rPr>
        <w:t>2021年本单位未单独填报决算，由系统统一填报部门决算，故无法对比。</w:t>
      </w:r>
    </w:p>
    <w:p>
      <w:pPr>
        <w:pStyle w:val="28"/>
        <w:numPr>
          <w:ilvl w:val="0"/>
          <w:numId w:val="2"/>
        </w:numPr>
        <w:spacing w:line="600" w:lineRule="exact"/>
        <w:ind w:firstLineChars="0"/>
        <w:outlineLvl w:val="1"/>
        <w:rPr>
          <w:rStyle w:val="30"/>
          <w:rFonts w:ascii="黑体" w:hAnsi="黑体" w:eastAsia="黑体"/>
          <w:b w:val="0"/>
        </w:rPr>
      </w:pPr>
      <w:bookmarkStart w:id="28" w:name="_Toc10868"/>
      <w:bookmarkStart w:id="29" w:name="_Toc15396604"/>
      <w:bookmarkStart w:id="30" w:name="_Toc15377206"/>
      <w:r>
        <w:rPr>
          <w:rFonts w:hint="eastAsia" w:ascii="黑体" w:hAnsi="黑体" w:eastAsia="黑体"/>
          <w:sz w:val="32"/>
          <w:szCs w:val="32"/>
        </w:rPr>
        <w:t>收</w:t>
      </w:r>
      <w:r>
        <w:rPr>
          <w:rStyle w:val="30"/>
          <w:rFonts w:hint="eastAsia" w:ascii="黑体" w:hAnsi="黑体" w:eastAsia="黑体"/>
          <w:b w:val="0"/>
        </w:rPr>
        <w:t>入决算情况说明</w:t>
      </w:r>
      <w:bookmarkEnd w:id="28"/>
      <w:bookmarkEnd w:id="29"/>
      <w:bookmarkEnd w:id="30"/>
    </w:p>
    <w:p>
      <w:pPr>
        <w:spacing w:line="600" w:lineRule="exact"/>
        <w:ind w:firstLine="640" w:firstLineChars="200"/>
        <w:outlineLvl w:val="1"/>
        <w:rPr>
          <w:rFonts w:ascii="仿宋" w:hAnsi="仿宋" w:eastAsia="仿宋"/>
          <w:sz w:val="32"/>
          <w:szCs w:val="32"/>
        </w:rPr>
      </w:pPr>
      <w:bookmarkStart w:id="31" w:name="_Toc5166"/>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557.35</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257.31</w:t>
      </w:r>
      <w:r>
        <w:rPr>
          <w:rFonts w:hint="eastAsia" w:ascii="仿宋" w:hAnsi="仿宋" w:eastAsia="仿宋"/>
          <w:sz w:val="32"/>
          <w:szCs w:val="32"/>
        </w:rPr>
        <w:t>万元，占</w:t>
      </w:r>
      <w:r>
        <w:rPr>
          <w:rFonts w:hint="eastAsia" w:ascii="仿宋" w:hAnsi="仿宋" w:eastAsia="仿宋"/>
          <w:sz w:val="32"/>
          <w:szCs w:val="32"/>
          <w:lang w:val="en-US" w:eastAsia="zh-CN"/>
        </w:rPr>
        <w:t>46</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291.1</w:t>
      </w:r>
      <w:r>
        <w:rPr>
          <w:rFonts w:hint="eastAsia" w:ascii="仿宋" w:hAnsi="仿宋" w:eastAsia="仿宋"/>
          <w:sz w:val="32"/>
          <w:szCs w:val="32"/>
        </w:rPr>
        <w:t>万元，占</w:t>
      </w:r>
      <w:r>
        <w:rPr>
          <w:rFonts w:hint="eastAsia" w:ascii="仿宋" w:hAnsi="仿宋" w:eastAsia="仿宋"/>
          <w:sz w:val="32"/>
          <w:szCs w:val="32"/>
          <w:lang w:val="en-US" w:eastAsia="zh-CN"/>
        </w:rPr>
        <w:t>52</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8.94</w:t>
      </w:r>
      <w:r>
        <w:rPr>
          <w:rFonts w:hint="eastAsia" w:ascii="仿宋" w:hAnsi="仿宋" w:eastAsia="仿宋"/>
          <w:sz w:val="32"/>
          <w:szCs w:val="32"/>
        </w:rPr>
        <w:t>万元，占</w:t>
      </w:r>
      <w:r>
        <w:rPr>
          <w:rFonts w:hint="eastAsia" w:ascii="仿宋" w:hAnsi="仿宋" w:eastAsia="仿宋"/>
          <w:sz w:val="32"/>
          <w:szCs w:val="32"/>
          <w:lang w:val="en-US" w:eastAsia="zh-CN"/>
        </w:rPr>
        <w:t>2</w:t>
      </w:r>
      <w:r>
        <w:rPr>
          <w:rFonts w:ascii="仿宋" w:hAnsi="仿宋" w:eastAsia="仿宋"/>
          <w:sz w:val="32"/>
          <w:szCs w:val="32"/>
        </w:rPr>
        <w:t>%</w:t>
      </w:r>
      <w:r>
        <w:rPr>
          <w:rFonts w:hint="eastAsia" w:ascii="仿宋" w:hAnsi="仿宋" w:eastAsia="仿宋"/>
          <w:sz w:val="32"/>
          <w:szCs w:val="32"/>
        </w:rPr>
        <w:t>。</w:t>
      </w:r>
      <w:bookmarkEnd w:id="31"/>
    </w:p>
    <w:p>
      <w:pPr>
        <w:pStyle w:val="2"/>
        <w:rPr>
          <w:rFonts w:ascii="仿宋_GB2312" w:eastAsia="仿宋_GB2312"/>
          <w:sz w:val="32"/>
          <w:szCs w:val="32"/>
        </w:rPr>
      </w:pPr>
      <w:r>
        <w:rPr>
          <w:rFonts w:hint="eastAsia" w:ascii="仿宋" w:hAnsi="仿宋" w:eastAsia="仿宋"/>
          <w:sz w:val="32"/>
          <w:szCs w:val="32"/>
          <w:lang w:eastAsia="zh-CN"/>
        </w:rPr>
        <w:drawing>
          <wp:inline distT="0" distB="0" distL="114300" distR="114300">
            <wp:extent cx="5285105" cy="2599690"/>
            <wp:effectExtent l="0" t="0" r="10795" b="10160"/>
            <wp:docPr id="2" name="图片 2" descr="~@B$3MW[1]8~0KFMB(DS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3MW[1]8~0KFMB(DS8}2"/>
                    <pic:cNvPicPr>
                      <a:picLocks noChangeAspect="1"/>
                    </pic:cNvPicPr>
                  </pic:nvPicPr>
                  <pic:blipFill>
                    <a:blip r:embed="rId6"/>
                    <a:stretch>
                      <a:fillRect/>
                    </a:stretch>
                  </pic:blipFill>
                  <pic:spPr>
                    <a:xfrm>
                      <a:off x="0" y="0"/>
                      <a:ext cx="5285105" cy="2599690"/>
                    </a:xfrm>
                    <a:prstGeom prst="rect">
                      <a:avLst/>
                    </a:prstGeom>
                  </pic:spPr>
                </pic:pic>
              </a:graphicData>
            </a:graphic>
          </wp:inline>
        </w:drawing>
      </w:r>
    </w:p>
    <w:p>
      <w:pPr>
        <w:pStyle w:val="2"/>
        <w:rPr>
          <w:rFonts w:ascii="仿宋_GB2312" w:eastAsia="仿宋_GB2312"/>
          <w:sz w:val="32"/>
          <w:szCs w:val="32"/>
        </w:rPr>
      </w:pPr>
    </w:p>
    <w:p>
      <w:pPr>
        <w:pStyle w:val="2"/>
        <w:rPr>
          <w:rFonts w:ascii="仿宋_GB2312" w:eastAsia="仿宋_GB2312"/>
          <w:sz w:val="32"/>
          <w:szCs w:val="32"/>
        </w:rPr>
      </w:pPr>
    </w:p>
    <w:p>
      <w:pPr>
        <w:pStyle w:val="28"/>
        <w:numPr>
          <w:ilvl w:val="0"/>
          <w:numId w:val="2"/>
        </w:numPr>
        <w:spacing w:line="600" w:lineRule="exact"/>
        <w:ind w:firstLineChars="0"/>
        <w:outlineLvl w:val="1"/>
        <w:rPr>
          <w:rStyle w:val="30"/>
          <w:rFonts w:ascii="黑体" w:hAnsi="黑体" w:eastAsia="黑体"/>
          <w:b w:val="0"/>
        </w:rPr>
      </w:pPr>
      <w:bookmarkStart w:id="32" w:name="_Toc9439"/>
      <w:bookmarkStart w:id="33" w:name="_Toc15377207"/>
      <w:bookmarkStart w:id="34" w:name="_Toc15396605"/>
      <w:r>
        <w:rPr>
          <w:rFonts w:hint="eastAsia" w:ascii="黑体" w:hAnsi="黑体" w:eastAsia="黑体"/>
          <w:sz w:val="32"/>
          <w:szCs w:val="32"/>
        </w:rPr>
        <w:t>支</w:t>
      </w:r>
      <w:r>
        <w:rPr>
          <w:rStyle w:val="30"/>
          <w:rFonts w:hint="eastAsia" w:ascii="黑体" w:hAnsi="黑体" w:eastAsia="黑体"/>
          <w:b w:val="0"/>
        </w:rPr>
        <w:t>出决算情况说明</w:t>
      </w:r>
      <w:bookmarkEnd w:id="32"/>
      <w:bookmarkEnd w:id="33"/>
      <w:bookmarkEnd w:id="34"/>
    </w:p>
    <w:p>
      <w:pPr>
        <w:spacing w:line="600" w:lineRule="exact"/>
        <w:ind w:firstLine="640" w:firstLineChars="200"/>
        <w:outlineLvl w:val="1"/>
        <w:rPr>
          <w:rFonts w:hint="eastAsia" w:ascii="仿宋" w:hAnsi="仿宋" w:eastAsia="仿宋"/>
          <w:sz w:val="32"/>
          <w:szCs w:val="32"/>
        </w:rPr>
      </w:pPr>
      <w:bookmarkStart w:id="35" w:name="_Toc18090"/>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554.64</w:t>
      </w:r>
      <w:r>
        <w:rPr>
          <w:rFonts w:hint="eastAsia" w:ascii="仿宋" w:hAnsi="仿宋" w:eastAsia="仿宋"/>
          <w:sz w:val="32"/>
          <w:szCs w:val="32"/>
        </w:rPr>
        <w:t>万元，其中：基本支出</w:t>
      </w:r>
      <w:r>
        <w:rPr>
          <w:rFonts w:hint="eastAsia" w:ascii="仿宋" w:hAnsi="仿宋" w:eastAsia="仿宋"/>
          <w:sz w:val="32"/>
          <w:szCs w:val="32"/>
          <w:lang w:val="en-US" w:eastAsia="zh-CN"/>
        </w:rPr>
        <w:t>554.64</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35"/>
    </w:p>
    <w:p>
      <w:pPr>
        <w:pStyle w:val="2"/>
        <w:rPr>
          <w:rFonts w:hint="eastAsia" w:ascii="仿宋" w:hAnsi="仿宋" w:eastAsia="仿宋"/>
          <w:sz w:val="32"/>
          <w:szCs w:val="32"/>
        </w:rPr>
      </w:pPr>
      <w:r>
        <w:rPr>
          <w:rFonts w:hint="eastAsia" w:ascii="仿宋" w:hAnsi="仿宋" w:eastAsia="仿宋"/>
          <w:sz w:val="32"/>
          <w:szCs w:val="32"/>
          <w:lang w:eastAsia="zh-CN"/>
        </w:rPr>
        <w:drawing>
          <wp:inline distT="0" distB="0" distL="114300" distR="114300">
            <wp:extent cx="4587875" cy="2390140"/>
            <wp:effectExtent l="0" t="0" r="3175" b="10160"/>
            <wp:docPr id="3" name="图片 3" descr="%_EYE@4H9G3KBN6$Z_G2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_EYE@4H9G3KBN6$Z_G2H@5"/>
                    <pic:cNvPicPr>
                      <a:picLocks noChangeAspect="1"/>
                    </pic:cNvPicPr>
                  </pic:nvPicPr>
                  <pic:blipFill>
                    <a:blip r:embed="rId7"/>
                    <a:stretch>
                      <a:fillRect/>
                    </a:stretch>
                  </pic:blipFill>
                  <pic:spPr>
                    <a:xfrm>
                      <a:off x="0" y="0"/>
                      <a:ext cx="4587875" cy="2390140"/>
                    </a:xfrm>
                    <a:prstGeom prst="rect">
                      <a:avLst/>
                    </a:prstGeom>
                  </pic:spPr>
                </pic:pic>
              </a:graphicData>
            </a:graphic>
          </wp:inline>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0"/>
          <w:rFonts w:ascii="黑体" w:hAnsi="黑体" w:eastAsia="黑体"/>
          <w:b w:val="0"/>
        </w:rPr>
      </w:pPr>
      <w:bookmarkStart w:id="36" w:name="_Toc15396606"/>
      <w:bookmarkStart w:id="37" w:name="_Toc15377208"/>
      <w:bookmarkStart w:id="38" w:name="_Toc23638"/>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36"/>
      <w:bookmarkEnd w:id="37"/>
      <w:bookmarkEnd w:id="38"/>
    </w:p>
    <w:p>
      <w:pPr>
        <w:pStyle w:val="2"/>
        <w:rPr>
          <w:rFonts w:hint="eastAsia" w:ascii="仿宋_GB2312" w:eastAsia="仿宋_GB2312"/>
          <w:sz w:val="32"/>
          <w:szCs w:val="32"/>
          <w:lang w:eastAsia="zh-CN"/>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257.31</w:t>
      </w:r>
      <w:r>
        <w:rPr>
          <w:rFonts w:hint="eastAsia" w:ascii="仿宋" w:hAnsi="仿宋" w:eastAsia="仿宋"/>
          <w:sz w:val="32"/>
          <w:szCs w:val="32"/>
        </w:rPr>
        <w:t>万元。</w:t>
      </w:r>
      <w:r>
        <w:rPr>
          <w:rFonts w:hint="eastAsia" w:ascii="仿宋" w:hAnsi="仿宋" w:eastAsia="仿宋" w:cs="仿宋"/>
          <w:sz w:val="32"/>
          <w:szCs w:val="32"/>
        </w:rPr>
        <w:t>2021年本单位未单独填报决算，由系统统一填报部门决算，故无法对比。</w:t>
      </w:r>
    </w:p>
    <w:p>
      <w:pPr>
        <w:spacing w:line="600" w:lineRule="exact"/>
        <w:ind w:firstLine="640" w:firstLineChars="200"/>
        <w:outlineLvl w:val="1"/>
        <w:rPr>
          <w:rStyle w:val="30"/>
          <w:rFonts w:ascii="黑体" w:hAnsi="黑体" w:eastAsia="黑体"/>
          <w:b w:val="0"/>
        </w:rPr>
      </w:pPr>
      <w:bookmarkStart w:id="39" w:name="_Toc15396607"/>
      <w:bookmarkStart w:id="40" w:name="_Toc15377209"/>
      <w:bookmarkStart w:id="41" w:name="_Toc23481"/>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39"/>
      <w:bookmarkEnd w:id="40"/>
      <w:bookmarkEnd w:id="41"/>
    </w:p>
    <w:p>
      <w:pPr>
        <w:spacing w:line="600" w:lineRule="exact"/>
        <w:ind w:firstLine="643" w:firstLineChars="200"/>
        <w:outlineLvl w:val="2"/>
        <w:rPr>
          <w:rFonts w:ascii="仿宋" w:hAnsi="仿宋" w:eastAsia="仿宋"/>
          <w:b/>
          <w:sz w:val="32"/>
          <w:szCs w:val="32"/>
        </w:rPr>
      </w:pPr>
      <w:bookmarkStart w:id="42" w:name="_Toc22560"/>
      <w:bookmarkStart w:id="43" w:name="_Toc15377210"/>
      <w:r>
        <w:rPr>
          <w:rFonts w:hint="eastAsia" w:ascii="仿宋" w:hAnsi="仿宋" w:eastAsia="仿宋"/>
          <w:b/>
          <w:sz w:val="32"/>
          <w:szCs w:val="32"/>
        </w:rPr>
        <w:t>（一）一般公共预算财政拨款支出决算总体情况</w:t>
      </w:r>
      <w:bookmarkEnd w:id="42"/>
      <w:bookmarkEnd w:id="43"/>
    </w:p>
    <w:p>
      <w:pPr>
        <w:pStyle w:val="2"/>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257.31</w:t>
      </w:r>
      <w:r>
        <w:rPr>
          <w:rFonts w:hint="eastAsia" w:ascii="仿宋" w:hAnsi="仿宋" w:eastAsia="仿宋"/>
          <w:sz w:val="32"/>
          <w:szCs w:val="32"/>
        </w:rPr>
        <w:t>万元，占本年支出合计的</w:t>
      </w:r>
      <w:r>
        <w:rPr>
          <w:rFonts w:hint="eastAsia" w:ascii="仿宋" w:hAnsi="仿宋" w:eastAsia="仿宋"/>
          <w:sz w:val="32"/>
          <w:szCs w:val="32"/>
          <w:lang w:val="en-US" w:eastAsia="zh-CN"/>
        </w:rPr>
        <w:t>46.39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p>
    <w:p>
      <w:pPr>
        <w:spacing w:line="600" w:lineRule="exact"/>
        <w:ind w:firstLine="643" w:firstLineChars="200"/>
        <w:outlineLvl w:val="2"/>
        <w:rPr>
          <w:rFonts w:ascii="仿宋" w:hAnsi="仿宋" w:eastAsia="仿宋"/>
          <w:b/>
          <w:sz w:val="32"/>
          <w:szCs w:val="32"/>
        </w:rPr>
      </w:pPr>
      <w:bookmarkStart w:id="44" w:name="_Toc9126"/>
      <w:bookmarkStart w:id="45" w:name="_Toc15377211"/>
      <w:r>
        <w:rPr>
          <w:rFonts w:hint="eastAsia" w:ascii="仿宋" w:hAnsi="仿宋" w:eastAsia="仿宋"/>
          <w:b/>
          <w:sz w:val="32"/>
          <w:szCs w:val="32"/>
        </w:rPr>
        <w:t>（二）一般公共预算财政拨款支出决算结构情况</w:t>
      </w:r>
      <w:bookmarkEnd w:id="44"/>
      <w:bookmarkEnd w:id="4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257.31</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16.98</w:t>
      </w:r>
      <w:r>
        <w:rPr>
          <w:rFonts w:hint="eastAsia" w:ascii="仿宋" w:hAnsi="仿宋" w:eastAsia="仿宋"/>
          <w:sz w:val="32"/>
          <w:szCs w:val="32"/>
        </w:rPr>
        <w:t>万元，占</w:t>
      </w:r>
      <w:r>
        <w:rPr>
          <w:rFonts w:hint="eastAsia" w:ascii="仿宋" w:hAnsi="仿宋" w:eastAsia="仿宋"/>
          <w:sz w:val="32"/>
          <w:szCs w:val="32"/>
          <w:lang w:val="en-US" w:eastAsia="zh-CN"/>
        </w:rPr>
        <w:t>6.59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236.5</w:t>
      </w:r>
      <w:r>
        <w:rPr>
          <w:rFonts w:hint="eastAsia" w:ascii="仿宋" w:hAnsi="仿宋" w:eastAsia="仿宋"/>
          <w:sz w:val="32"/>
          <w:szCs w:val="32"/>
        </w:rPr>
        <w:t>万元，占</w:t>
      </w:r>
      <w:r>
        <w:rPr>
          <w:rFonts w:hint="eastAsia" w:ascii="仿宋" w:hAnsi="仿宋" w:eastAsia="仿宋"/>
          <w:sz w:val="32"/>
          <w:szCs w:val="32"/>
          <w:lang w:val="en-US" w:eastAsia="zh-CN"/>
        </w:rPr>
        <w:t>91.91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3.82</w:t>
      </w:r>
      <w:r>
        <w:rPr>
          <w:rFonts w:hint="eastAsia" w:ascii="仿宋" w:hAnsi="仿宋" w:eastAsia="仿宋"/>
          <w:sz w:val="32"/>
          <w:szCs w:val="32"/>
        </w:rPr>
        <w:t>万元，占</w:t>
      </w:r>
      <w:r>
        <w:rPr>
          <w:rFonts w:hint="eastAsia" w:ascii="仿宋" w:hAnsi="仿宋" w:eastAsia="仿宋"/>
          <w:sz w:val="32"/>
          <w:szCs w:val="32"/>
          <w:lang w:val="en-US" w:eastAsia="zh-CN"/>
        </w:rPr>
        <w:t>1.49</w:t>
      </w:r>
      <w:r>
        <w:rPr>
          <w:rFonts w:ascii="仿宋" w:hAnsi="仿宋" w:eastAsia="仿宋"/>
          <w:sz w:val="32"/>
          <w:szCs w:val="32"/>
        </w:rPr>
        <w:t>%</w:t>
      </w:r>
      <w:r>
        <w:rPr>
          <w:rFonts w:hint="eastAsia" w:ascii="仿宋" w:hAnsi="仿宋" w:eastAsia="仿宋"/>
          <w:sz w:val="32"/>
          <w:szCs w:val="32"/>
        </w:rPr>
        <w:t>；。</w:t>
      </w:r>
    </w:p>
    <w:p>
      <w:pPr>
        <w:pStyle w:val="2"/>
        <w:rPr>
          <w:rFonts w:ascii="仿宋" w:hAnsi="仿宋" w:eastAsia="仿宋"/>
          <w:sz w:val="32"/>
          <w:szCs w:val="32"/>
        </w:rPr>
      </w:pPr>
      <w:r>
        <w:rPr>
          <w:rFonts w:hint="eastAsia" w:ascii="仿宋" w:hAnsi="仿宋" w:eastAsia="仿宋"/>
          <w:sz w:val="32"/>
          <w:szCs w:val="32"/>
          <w:lang w:eastAsia="zh-CN"/>
        </w:rPr>
        <w:drawing>
          <wp:inline distT="0" distB="0" distL="114300" distR="114300">
            <wp:extent cx="4610100" cy="2581275"/>
            <wp:effectExtent l="0" t="0" r="0" b="9525"/>
            <wp:docPr id="7" name="图片 7" descr="2MIUQ6SG8~WPUFBYY$@(8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MIUQ6SG8~WPUFBYY$@(8V4"/>
                    <pic:cNvPicPr>
                      <a:picLocks noChangeAspect="1"/>
                    </pic:cNvPicPr>
                  </pic:nvPicPr>
                  <pic:blipFill>
                    <a:blip r:embed="rId8"/>
                    <a:stretch>
                      <a:fillRect/>
                    </a:stretch>
                  </pic:blipFill>
                  <pic:spPr>
                    <a:xfrm>
                      <a:off x="0" y="0"/>
                      <a:ext cx="4610100" cy="2581275"/>
                    </a:xfrm>
                    <a:prstGeom prst="rect">
                      <a:avLst/>
                    </a:prstGeom>
                  </pic:spPr>
                </pic:pic>
              </a:graphicData>
            </a:graphic>
          </wp:inline>
        </w:drawing>
      </w:r>
    </w:p>
    <w:p>
      <w:pPr>
        <w:spacing w:line="600" w:lineRule="exact"/>
        <w:ind w:firstLine="643" w:firstLineChars="200"/>
        <w:outlineLvl w:val="2"/>
        <w:rPr>
          <w:rFonts w:ascii="仿宋" w:hAnsi="仿宋" w:eastAsia="仿宋"/>
          <w:b/>
          <w:sz w:val="32"/>
          <w:szCs w:val="32"/>
        </w:rPr>
      </w:pPr>
      <w:bookmarkStart w:id="46" w:name="_Toc15377212"/>
      <w:bookmarkStart w:id="47" w:name="_Toc11664"/>
      <w:r>
        <w:rPr>
          <w:rFonts w:hint="eastAsia" w:ascii="仿宋" w:hAnsi="仿宋" w:eastAsia="仿宋"/>
          <w:b/>
          <w:sz w:val="32"/>
          <w:szCs w:val="32"/>
        </w:rPr>
        <w:t>（三）一般公共预算财政拨款支出决算具体情况</w:t>
      </w:r>
      <w:bookmarkEnd w:id="46"/>
      <w:bookmarkEnd w:id="47"/>
    </w:p>
    <w:p>
      <w:pPr>
        <w:spacing w:line="600" w:lineRule="exact"/>
        <w:ind w:firstLine="643" w:firstLineChars="200"/>
        <w:outlineLvl w:val="2"/>
        <w:rPr>
          <w:rFonts w:ascii="仿宋" w:hAnsi="仿宋" w:eastAsia="仿宋"/>
          <w:sz w:val="32"/>
          <w:szCs w:val="32"/>
        </w:rPr>
      </w:pPr>
      <w:bookmarkStart w:id="48" w:name="_Toc32334"/>
      <w:bookmarkStart w:id="49" w:name="_Toc15377444"/>
      <w:bookmarkStart w:id="50" w:name="_Toc15377213"/>
      <w:bookmarkStart w:id="51"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257.31</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48"/>
      <w:bookmarkEnd w:id="49"/>
      <w:bookmarkEnd w:id="50"/>
      <w:bookmarkEnd w:id="51"/>
    </w:p>
    <w:p>
      <w:pPr>
        <w:spacing w:line="600" w:lineRule="exact"/>
        <w:ind w:firstLine="643" w:firstLineChars="200"/>
        <w:rPr>
          <w:rFonts w:ascii="仿宋" w:hAnsi="仿宋" w:eastAsia="仿宋"/>
          <w:b/>
          <w:sz w:val="32"/>
          <w:szCs w:val="32"/>
        </w:rPr>
      </w:pPr>
      <w:r>
        <w:rPr>
          <w:rStyle w:val="19"/>
          <w:rFonts w:hint="eastAsia" w:ascii="仿宋" w:hAnsi="仿宋" w:eastAsia="仿宋"/>
          <w:bCs/>
          <w:sz w:val="32"/>
          <w:szCs w:val="32"/>
          <w:lang w:val="en-US" w:eastAsia="zh-CN"/>
        </w:rPr>
        <w:t>1</w:t>
      </w:r>
      <w:r>
        <w:rPr>
          <w:rStyle w:val="19"/>
          <w:rFonts w:ascii="仿宋" w:hAnsi="仿宋" w:eastAsia="仿宋"/>
          <w:bCs/>
          <w:sz w:val="32"/>
          <w:szCs w:val="32"/>
        </w:rPr>
        <w:t>.</w:t>
      </w:r>
      <w:r>
        <w:rPr>
          <w:rStyle w:val="19"/>
          <w:rFonts w:hint="eastAsia" w:ascii="仿宋" w:hAnsi="仿宋" w:eastAsia="仿宋"/>
          <w:bCs/>
          <w:sz w:val="32"/>
          <w:szCs w:val="32"/>
        </w:rPr>
        <w:t>社会保障和就业（类）行政事业单位养老支出（款）机关事业单位基本养老保险缴费支出（项）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16.98</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3" w:firstLineChars="200"/>
        <w:rPr>
          <w:rStyle w:val="19"/>
          <w:rFonts w:hint="eastAsia" w:ascii="仿宋" w:hAnsi="仿宋" w:eastAsia="仿宋"/>
          <w:b w:val="0"/>
          <w:bCs/>
          <w:sz w:val="32"/>
          <w:szCs w:val="32"/>
        </w:rPr>
      </w:pPr>
      <w:r>
        <w:rPr>
          <w:rStyle w:val="19"/>
          <w:rFonts w:hint="eastAsia" w:ascii="仿宋" w:hAnsi="仿宋" w:eastAsia="仿宋"/>
          <w:bCs/>
          <w:sz w:val="32"/>
          <w:szCs w:val="32"/>
          <w:lang w:val="en-US" w:eastAsia="zh-CN"/>
        </w:rPr>
        <w:t>2</w:t>
      </w:r>
      <w:r>
        <w:rPr>
          <w:rStyle w:val="19"/>
          <w:rFonts w:ascii="仿宋" w:hAnsi="仿宋" w:eastAsia="仿宋"/>
          <w:bCs/>
          <w:sz w:val="32"/>
          <w:szCs w:val="32"/>
        </w:rPr>
        <w:t>.</w:t>
      </w:r>
      <w:r>
        <w:rPr>
          <w:rFonts w:hint="eastAsia" w:ascii="仿宋" w:hAnsi="仿宋" w:eastAsia="仿宋"/>
          <w:b/>
          <w:bCs/>
          <w:sz w:val="32"/>
          <w:szCs w:val="32"/>
        </w:rPr>
        <w:t>卫生健康</w:t>
      </w:r>
      <w:r>
        <w:rPr>
          <w:rStyle w:val="19"/>
          <w:rFonts w:hint="eastAsia" w:ascii="仿宋" w:hAnsi="仿宋" w:eastAsia="仿宋"/>
          <w:bCs/>
          <w:sz w:val="32"/>
          <w:szCs w:val="32"/>
        </w:rPr>
        <w:t>（类）基层医疗卫生机构（款）</w:t>
      </w:r>
      <w:r>
        <w:rPr>
          <w:rStyle w:val="19"/>
          <w:rFonts w:hint="eastAsia" w:ascii="仿宋" w:hAnsi="仿宋" w:eastAsia="仿宋"/>
          <w:bCs/>
          <w:sz w:val="32"/>
          <w:szCs w:val="32"/>
          <w:lang w:eastAsia="zh-CN"/>
        </w:rPr>
        <w:t>乡镇卫生</w:t>
      </w:r>
      <w:r>
        <w:rPr>
          <w:rStyle w:val="19"/>
          <w:rFonts w:hint="eastAsia" w:ascii="仿宋" w:hAnsi="仿宋" w:eastAsia="仿宋"/>
          <w:bCs/>
          <w:sz w:val="32"/>
          <w:szCs w:val="32"/>
          <w:lang w:val="en-US" w:eastAsia="zh-CN"/>
        </w:rPr>
        <w:t>院</w:t>
      </w:r>
      <w:r>
        <w:rPr>
          <w:rStyle w:val="19"/>
          <w:rFonts w:hint="eastAsia" w:ascii="仿宋" w:hAnsi="仿宋" w:eastAsia="仿宋"/>
          <w:bCs/>
          <w:sz w:val="32"/>
          <w:szCs w:val="32"/>
        </w:rPr>
        <w:t>（项）</w:t>
      </w:r>
      <w:r>
        <w:rPr>
          <w:rStyle w:val="19"/>
          <w:rFonts w:ascii="仿宋" w:hAnsi="仿宋" w:eastAsia="仿宋"/>
          <w:bCs/>
          <w:sz w:val="32"/>
          <w:szCs w:val="32"/>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137.77</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pStyle w:val="2"/>
        <w:ind w:firstLine="643" w:firstLineChars="200"/>
        <w:rPr>
          <w:rFonts w:hint="eastAsia"/>
        </w:rPr>
      </w:pPr>
      <w:r>
        <w:rPr>
          <w:rStyle w:val="19"/>
          <w:rFonts w:hint="eastAsia" w:ascii="仿宋" w:hAnsi="仿宋" w:eastAsia="仿宋"/>
          <w:bCs/>
          <w:sz w:val="32"/>
          <w:szCs w:val="32"/>
          <w:lang w:val="en-US" w:eastAsia="zh-CN"/>
        </w:rPr>
        <w:t>3</w:t>
      </w:r>
      <w:r>
        <w:rPr>
          <w:rStyle w:val="19"/>
          <w:rFonts w:ascii="仿宋" w:hAnsi="仿宋" w:eastAsia="仿宋"/>
          <w:bCs/>
          <w:sz w:val="32"/>
          <w:szCs w:val="32"/>
        </w:rPr>
        <w:t>.</w:t>
      </w:r>
      <w:r>
        <w:rPr>
          <w:rFonts w:hint="eastAsia" w:ascii="仿宋" w:hAnsi="仿宋" w:eastAsia="仿宋"/>
          <w:b/>
          <w:bCs/>
          <w:sz w:val="32"/>
          <w:szCs w:val="32"/>
        </w:rPr>
        <w:t>卫生健康</w:t>
      </w:r>
      <w:r>
        <w:rPr>
          <w:rStyle w:val="19"/>
          <w:rFonts w:hint="eastAsia" w:ascii="仿宋" w:hAnsi="仿宋" w:eastAsia="仿宋"/>
          <w:bCs/>
          <w:sz w:val="32"/>
          <w:szCs w:val="32"/>
        </w:rPr>
        <w:t>（类）基层医疗卫生机构（款）</w:t>
      </w:r>
      <w:r>
        <w:rPr>
          <w:rStyle w:val="19"/>
          <w:rFonts w:hint="eastAsia" w:ascii="仿宋" w:hAnsi="仿宋" w:eastAsia="仿宋"/>
          <w:bCs/>
          <w:sz w:val="32"/>
          <w:szCs w:val="32"/>
          <w:lang w:val="en-US" w:eastAsia="zh-CN"/>
        </w:rPr>
        <w:t>其他基层医疗卫生机构支出</w:t>
      </w:r>
      <w:r>
        <w:rPr>
          <w:rStyle w:val="19"/>
          <w:rFonts w:hint="eastAsia" w:ascii="仿宋" w:hAnsi="仿宋" w:eastAsia="仿宋"/>
          <w:bCs/>
          <w:sz w:val="32"/>
          <w:szCs w:val="32"/>
        </w:rPr>
        <w:t>（项）</w:t>
      </w:r>
      <w:r>
        <w:rPr>
          <w:rStyle w:val="19"/>
          <w:rFonts w:ascii="仿宋" w:hAnsi="仿宋" w:eastAsia="仿宋"/>
          <w:bCs/>
          <w:sz w:val="32"/>
          <w:szCs w:val="32"/>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18.5</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4.卫生健康（类）公共卫生（款）基本公共卫生服务（项）：</w:t>
      </w:r>
      <w:r>
        <w:rPr>
          <w:rFonts w:hint="eastAsia" w:ascii="仿宋" w:hAnsi="仿宋" w:eastAsia="仿宋"/>
          <w:sz w:val="32"/>
          <w:szCs w:val="32"/>
          <w:lang w:val="en-US" w:eastAsia="zh-CN"/>
        </w:rPr>
        <w:t>支出决算71.74万元，完成预算100%。</w:t>
      </w:r>
    </w:p>
    <w:p>
      <w:pPr>
        <w:pStyle w:val="16"/>
        <w:ind w:left="0" w:leftChars="0"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5.卫生健康（类）行政事业单位医疗（款）事业单位医疗（项）：</w:t>
      </w:r>
      <w:r>
        <w:rPr>
          <w:rFonts w:hint="eastAsia" w:ascii="仿宋" w:hAnsi="仿宋" w:eastAsia="仿宋"/>
          <w:sz w:val="32"/>
          <w:szCs w:val="32"/>
          <w:lang w:val="en-US" w:eastAsia="zh-CN"/>
        </w:rPr>
        <w:t>支出决算8.49万元，完成预算100%。</w:t>
      </w:r>
    </w:p>
    <w:p>
      <w:pPr>
        <w:pStyle w:val="16"/>
        <w:ind w:left="0" w:leftChars="0" w:firstLine="643" w:firstLineChars="200"/>
        <w:rPr>
          <w:rFonts w:ascii="仿宋" w:hAnsi="仿宋" w:eastAsia="仿宋"/>
          <w:b/>
          <w:sz w:val="32"/>
          <w:szCs w:val="32"/>
        </w:rPr>
      </w:pPr>
      <w:r>
        <w:rPr>
          <w:rStyle w:val="19"/>
          <w:rFonts w:hint="eastAsia" w:ascii="仿宋" w:hAnsi="仿宋" w:eastAsia="仿宋"/>
          <w:bCs/>
          <w:sz w:val="32"/>
          <w:szCs w:val="32"/>
          <w:lang w:val="en-US" w:eastAsia="zh-CN"/>
        </w:rPr>
        <w:t>6</w:t>
      </w:r>
      <w:r>
        <w:rPr>
          <w:rStyle w:val="19"/>
          <w:rFonts w:ascii="仿宋" w:hAnsi="仿宋" w:eastAsia="仿宋"/>
          <w:bCs/>
          <w:sz w:val="32"/>
          <w:szCs w:val="32"/>
        </w:rPr>
        <w:t>.</w:t>
      </w:r>
      <w:r>
        <w:rPr>
          <w:rFonts w:hint="eastAsia" w:ascii="仿宋" w:hAnsi="仿宋" w:eastAsia="仿宋"/>
          <w:b/>
          <w:bCs/>
          <w:sz w:val="32"/>
          <w:szCs w:val="32"/>
          <w:lang w:eastAsia="zh-CN"/>
        </w:rPr>
        <w:t>住房保障</w:t>
      </w:r>
      <w:r>
        <w:rPr>
          <w:rStyle w:val="19"/>
          <w:rFonts w:hint="eastAsia" w:ascii="仿宋" w:hAnsi="仿宋" w:eastAsia="仿宋"/>
          <w:bCs/>
          <w:sz w:val="32"/>
          <w:szCs w:val="32"/>
        </w:rPr>
        <w:t>（类）住房改革支出（款）</w:t>
      </w:r>
      <w:r>
        <w:rPr>
          <w:rStyle w:val="19"/>
          <w:rFonts w:hint="eastAsia" w:ascii="仿宋" w:hAnsi="仿宋" w:eastAsia="仿宋"/>
          <w:bCs/>
          <w:sz w:val="32"/>
          <w:szCs w:val="32"/>
          <w:lang w:eastAsia="zh-CN"/>
        </w:rPr>
        <w:t xml:space="preserve"> 住房公积金</w:t>
      </w:r>
      <w:r>
        <w:rPr>
          <w:rStyle w:val="19"/>
          <w:rFonts w:hint="eastAsia" w:ascii="仿宋" w:hAnsi="仿宋" w:eastAsia="仿宋"/>
          <w:bCs/>
          <w:sz w:val="32"/>
          <w:szCs w:val="32"/>
        </w:rPr>
        <w:t>（项）</w:t>
      </w:r>
      <w:r>
        <w:rPr>
          <w:rStyle w:val="19"/>
          <w:rFonts w:ascii="仿宋" w:hAnsi="仿宋" w:eastAsia="仿宋"/>
          <w:bCs/>
          <w:sz w:val="32"/>
          <w:szCs w:val="32"/>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3,82</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tabs>
          <w:tab w:val="right" w:pos="8306"/>
        </w:tabs>
        <w:spacing w:line="600" w:lineRule="exact"/>
        <w:ind w:firstLine="640"/>
        <w:outlineLvl w:val="1"/>
        <w:rPr>
          <w:rStyle w:val="30"/>
        </w:rPr>
      </w:pPr>
      <w:bookmarkStart w:id="52" w:name="_Toc15377214"/>
      <w:bookmarkStart w:id="53" w:name="_Toc25811"/>
      <w:bookmarkStart w:id="54"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52"/>
      <w:bookmarkEnd w:id="53"/>
      <w:bookmarkEnd w:id="54"/>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257.31</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252.26</w:t>
      </w:r>
      <w:r>
        <w:rPr>
          <w:rFonts w:hint="eastAsia" w:ascii="仿宋" w:hAnsi="仿宋" w:eastAsia="仿宋"/>
          <w:sz w:val="32"/>
          <w:szCs w:val="32"/>
        </w:rPr>
        <w:t>万元，主要包括：基本工资、津贴补贴、绩效工资、机关事业单位基本养老保险缴费、</w:t>
      </w:r>
      <w:r>
        <w:rPr>
          <w:rFonts w:hint="eastAsia" w:ascii="仿宋" w:hAnsi="仿宋" w:eastAsia="仿宋"/>
          <w:sz w:val="32"/>
          <w:szCs w:val="32"/>
          <w:lang w:val="en-US" w:eastAsia="zh-CN"/>
        </w:rPr>
        <w:t>职工基本医疗保险缴费、</w:t>
      </w:r>
      <w:r>
        <w:rPr>
          <w:rFonts w:hint="eastAsia" w:ascii="仿宋" w:hAnsi="仿宋" w:eastAsia="仿宋"/>
          <w:sz w:val="32"/>
          <w:szCs w:val="32"/>
        </w:rPr>
        <w:t>其他社会保障缴费、其他工资福利支出、生活补助、住房公积金、其他对个人和家庭的补助支出等。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5.04</w:t>
      </w:r>
      <w:r>
        <w:rPr>
          <w:rFonts w:hint="eastAsia" w:ascii="仿宋" w:hAnsi="仿宋" w:eastAsia="仿宋"/>
          <w:sz w:val="32"/>
          <w:szCs w:val="32"/>
        </w:rPr>
        <w:t>万元，主要包括：办公费、印刷费、水费、电费、邮电费、差旅费、维修（护）费、培训费、公务接待费、</w:t>
      </w:r>
      <w:r>
        <w:rPr>
          <w:rFonts w:hint="eastAsia" w:ascii="仿宋" w:hAnsi="仿宋" w:eastAsia="仿宋"/>
          <w:sz w:val="32"/>
          <w:szCs w:val="32"/>
          <w:lang w:val="en-US" w:eastAsia="zh-CN"/>
        </w:rPr>
        <w:t>专用材料费</w:t>
      </w:r>
      <w:r>
        <w:rPr>
          <w:rFonts w:hint="eastAsia" w:ascii="仿宋" w:hAnsi="仿宋" w:eastAsia="仿宋"/>
          <w:sz w:val="32"/>
          <w:szCs w:val="32"/>
        </w:rPr>
        <w:t>等。</w:t>
      </w:r>
    </w:p>
    <w:p>
      <w:pPr>
        <w:spacing w:line="600" w:lineRule="exact"/>
        <w:ind w:firstLine="640"/>
        <w:outlineLvl w:val="1"/>
        <w:rPr>
          <w:rStyle w:val="30"/>
          <w:rFonts w:ascii="黑体" w:hAnsi="黑体" w:eastAsia="黑体"/>
          <w:b w:val="0"/>
        </w:rPr>
      </w:pPr>
      <w:bookmarkStart w:id="55" w:name="_Toc15377215"/>
      <w:bookmarkStart w:id="56" w:name="_Toc31352"/>
      <w:bookmarkStart w:id="57" w:name="_Toc15396609"/>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55"/>
      <w:bookmarkEnd w:id="56"/>
      <w:bookmarkEnd w:id="57"/>
    </w:p>
    <w:p>
      <w:pPr>
        <w:spacing w:line="600" w:lineRule="exact"/>
        <w:ind w:firstLine="640"/>
        <w:outlineLvl w:val="2"/>
        <w:rPr>
          <w:rFonts w:ascii="仿宋" w:hAnsi="仿宋" w:eastAsia="仿宋"/>
          <w:b/>
          <w:sz w:val="32"/>
          <w:szCs w:val="32"/>
        </w:rPr>
      </w:pPr>
      <w:bookmarkStart w:id="58" w:name="_Toc9113"/>
      <w:bookmarkStart w:id="59" w:name="_Toc15377216"/>
      <w:r>
        <w:rPr>
          <w:rFonts w:hint="eastAsia" w:ascii="仿宋" w:hAnsi="仿宋" w:eastAsia="仿宋"/>
          <w:b/>
          <w:sz w:val="32"/>
          <w:szCs w:val="32"/>
        </w:rPr>
        <w:t>（一）“三公”经费财政拨款支出决算总体情况说明</w:t>
      </w:r>
      <w:bookmarkEnd w:id="58"/>
      <w:bookmarkEnd w:id="59"/>
    </w:p>
    <w:p>
      <w:pPr>
        <w:pStyle w:val="2"/>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0.45</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p>
    <w:p>
      <w:pPr>
        <w:spacing w:line="600" w:lineRule="exact"/>
        <w:ind w:firstLine="640"/>
        <w:outlineLvl w:val="2"/>
        <w:rPr>
          <w:rFonts w:ascii="仿宋" w:hAnsi="仿宋" w:eastAsia="仿宋"/>
          <w:b/>
          <w:sz w:val="32"/>
          <w:szCs w:val="32"/>
        </w:rPr>
      </w:pPr>
      <w:bookmarkStart w:id="60" w:name="_Toc15377217"/>
      <w:bookmarkStart w:id="61" w:name="_Toc22778"/>
      <w:r>
        <w:rPr>
          <w:rFonts w:hint="eastAsia" w:ascii="仿宋" w:hAnsi="仿宋" w:eastAsia="仿宋"/>
          <w:b/>
          <w:sz w:val="32"/>
          <w:szCs w:val="32"/>
        </w:rPr>
        <w:t>（二）“三公”经费财政拨款支出决算具体情况说明</w:t>
      </w:r>
      <w:bookmarkEnd w:id="60"/>
      <w:bookmarkEnd w:id="6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0.45</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2"/>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048250" cy="1896110"/>
            <wp:effectExtent l="0" t="0" r="0" b="8890"/>
            <wp:docPr id="8" name="图片 8" descr="4[`V2M`B(]@5L0UKH107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V2M`B(]@5L0UKH107752"/>
                    <pic:cNvPicPr>
                      <a:picLocks noChangeAspect="1"/>
                    </pic:cNvPicPr>
                  </pic:nvPicPr>
                  <pic:blipFill>
                    <a:blip r:embed="rId9"/>
                    <a:stretch>
                      <a:fillRect/>
                    </a:stretch>
                  </pic:blipFill>
                  <pic:spPr>
                    <a:xfrm>
                      <a:off x="0" y="0"/>
                      <a:ext cx="5048250" cy="1896110"/>
                    </a:xfrm>
                    <a:prstGeom prst="rect">
                      <a:avLst/>
                    </a:prstGeom>
                  </pic:spPr>
                </pic:pic>
              </a:graphicData>
            </a:graphic>
          </wp:inline>
        </w:drawing>
      </w:r>
    </w:p>
    <w:p>
      <w:pPr>
        <w:pStyle w:val="2"/>
        <w:rPr>
          <w:rFonts w:hint="eastAsia" w:ascii="仿宋" w:hAnsi="仿宋" w:eastAsia="仿宋"/>
          <w:sz w:val="32"/>
          <w:szCs w:val="32"/>
        </w:rPr>
      </w:pPr>
    </w:p>
    <w:p>
      <w:pPr>
        <w:pStyle w:val="2"/>
        <w:rPr>
          <w:rFonts w:hint="eastAsia" w:ascii="仿宋" w:hAnsi="仿宋" w:eastAsia="仿宋"/>
          <w:sz w:val="32"/>
          <w:szCs w:val="32"/>
        </w:rPr>
      </w:pP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。开支内容包括：…（团组名称、出访地点、取得成效）等。</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万元，主要用于…。截至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（具体工作）等所需的公务用车燃料费、维修费、过路过桥费、保险费等支出。</w:t>
      </w:r>
    </w:p>
    <w:p>
      <w:pPr>
        <w:pStyle w:val="2"/>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b/>
          <w:sz w:val="32"/>
          <w:szCs w:val="32"/>
          <w:lang w:val="en-US" w:eastAsia="zh-CN"/>
        </w:rPr>
        <w:t>0.45</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 w:hAnsi="仿宋" w:eastAsia="仿宋" w:cs="仿宋"/>
          <w:sz w:val="32"/>
          <w:szCs w:val="32"/>
        </w:rPr>
        <w:t>2021年本单位未单独填报决算，由系统统一填报部门决算，故无法对比</w:t>
      </w:r>
      <w:r>
        <w:rPr>
          <w:rFonts w:hint="eastAsia" w:ascii="仿宋" w:hAnsi="仿宋" w:eastAsia="仿宋" w:cs="仿宋"/>
          <w:sz w:val="32"/>
          <w:szCs w:val="32"/>
          <w:lang w:eastAsia="zh-CN"/>
        </w:rPr>
        <w:t>。</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0.45</w:t>
      </w:r>
      <w:r>
        <w:rPr>
          <w:rFonts w:hint="eastAsia" w:ascii="仿宋_GB2312" w:eastAsia="仿宋_GB2312"/>
          <w:sz w:val="32"/>
          <w:szCs w:val="32"/>
        </w:rPr>
        <w:t>万元，主要用于开展业务活动开支的住宿费、用餐费等)。国内公务接待</w:t>
      </w:r>
      <w:r>
        <w:rPr>
          <w:rFonts w:hint="eastAsia" w:ascii="仿宋_GB2312" w:eastAsia="仿宋_GB2312"/>
          <w:sz w:val="32"/>
          <w:szCs w:val="32"/>
          <w:lang w:val="en-US" w:eastAsia="zh-CN"/>
        </w:rPr>
        <w:t>19</w:t>
      </w:r>
      <w:r>
        <w:rPr>
          <w:rFonts w:hint="eastAsia" w:ascii="仿宋_GB2312" w:eastAsia="仿宋_GB2312"/>
          <w:sz w:val="32"/>
          <w:szCs w:val="32"/>
        </w:rPr>
        <w:t>批次，</w:t>
      </w:r>
      <w:r>
        <w:rPr>
          <w:rFonts w:hint="eastAsia" w:ascii="仿宋_GB2312" w:eastAsia="仿宋_GB2312"/>
          <w:sz w:val="32"/>
          <w:szCs w:val="32"/>
          <w:lang w:val="en-US" w:eastAsia="zh-CN"/>
        </w:rPr>
        <w:t>150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0.45</w:t>
      </w:r>
      <w:r>
        <w:rPr>
          <w:rFonts w:hint="eastAsia" w:ascii="仿宋_GB2312" w:eastAsia="仿宋_GB2312"/>
          <w:sz w:val="32"/>
          <w:szCs w:val="32"/>
        </w:rPr>
        <w:t>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万元，主要用于接待</w:t>
      </w:r>
      <w:r>
        <w:rPr>
          <w:rFonts w:ascii="仿宋_GB2312" w:eastAsia="仿宋_GB2312"/>
          <w:sz w:val="32"/>
          <w:szCs w:val="32"/>
        </w:rPr>
        <w:t>…</w:t>
      </w:r>
      <w:r>
        <w:rPr>
          <w:rFonts w:hint="eastAsia" w:ascii="仿宋_GB2312" w:eastAsia="仿宋_GB2312"/>
          <w:sz w:val="32"/>
          <w:szCs w:val="32"/>
        </w:rPr>
        <w:t>（具体项目）。外事接待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62" w:name="_Toc15396610"/>
      <w:bookmarkStart w:id="63" w:name="_Toc15377218"/>
    </w:p>
    <w:p>
      <w:pPr>
        <w:spacing w:line="600" w:lineRule="exact"/>
        <w:ind w:firstLine="640"/>
        <w:outlineLvl w:val="1"/>
        <w:rPr>
          <w:rStyle w:val="30"/>
          <w:rFonts w:ascii="黑体" w:hAnsi="黑体" w:eastAsia="黑体"/>
        </w:rPr>
      </w:pPr>
      <w:bookmarkStart w:id="64" w:name="_Toc6587"/>
      <w:r>
        <w:rPr>
          <w:rFonts w:hint="eastAsia" w:ascii="黑体" w:eastAsia="黑体"/>
          <w:sz w:val="32"/>
          <w:szCs w:val="32"/>
        </w:rPr>
        <w:t>八、</w:t>
      </w:r>
      <w:r>
        <w:rPr>
          <w:rStyle w:val="30"/>
          <w:rFonts w:hint="eastAsia" w:ascii="黑体" w:hAnsi="黑体" w:eastAsia="黑体"/>
          <w:b w:val="0"/>
        </w:rPr>
        <w:t>政府性基金预算支出决算情况说明</w:t>
      </w:r>
      <w:bookmarkEnd w:id="62"/>
      <w:bookmarkEnd w:id="63"/>
      <w:bookmarkEnd w:id="6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0"/>
          <w:rFonts w:ascii="黑体" w:hAnsi="黑体" w:eastAsia="黑体"/>
          <w:b w:val="0"/>
        </w:rPr>
      </w:pPr>
      <w:bookmarkStart w:id="65" w:name="_Toc6964"/>
      <w:bookmarkStart w:id="66" w:name="_Toc15396611"/>
      <w:bookmarkStart w:id="67" w:name="_Toc15377219"/>
      <w:r>
        <w:rPr>
          <w:rStyle w:val="30"/>
          <w:rFonts w:hint="eastAsia" w:ascii="黑体" w:hAnsi="黑体" w:eastAsia="黑体"/>
          <w:b w:val="0"/>
        </w:rPr>
        <w:t>国有资本经营预算支出决算情况说明</w:t>
      </w:r>
      <w:bookmarkEnd w:id="65"/>
      <w:bookmarkEnd w:id="66"/>
      <w:bookmarkEnd w:id="6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0"/>
          <w:rFonts w:ascii="黑体" w:hAnsi="黑体" w:eastAsia="黑体"/>
          <w:b w:val="0"/>
        </w:rPr>
      </w:pPr>
      <w:bookmarkStart w:id="68" w:name="_Toc15377221"/>
      <w:bookmarkStart w:id="69" w:name="_Toc22600"/>
      <w:bookmarkStart w:id="70" w:name="_Toc15396612"/>
      <w:r>
        <w:rPr>
          <w:rStyle w:val="30"/>
          <w:rFonts w:hint="eastAsia" w:ascii="黑体" w:hAnsi="黑体" w:eastAsia="黑体"/>
          <w:b w:val="0"/>
        </w:rPr>
        <w:t>其他重要事项的情况说明</w:t>
      </w:r>
      <w:bookmarkEnd w:id="68"/>
      <w:bookmarkEnd w:id="69"/>
      <w:bookmarkEnd w:id="70"/>
    </w:p>
    <w:p>
      <w:pPr>
        <w:spacing w:line="600" w:lineRule="exact"/>
        <w:ind w:firstLine="643" w:firstLineChars="200"/>
        <w:outlineLvl w:val="2"/>
        <w:rPr>
          <w:rFonts w:ascii="仿宋" w:hAnsi="仿宋" w:eastAsia="仿宋"/>
          <w:sz w:val="32"/>
          <w:szCs w:val="32"/>
        </w:rPr>
      </w:pPr>
      <w:bookmarkStart w:id="71" w:name="_Toc30338"/>
      <w:bookmarkStart w:id="72" w:name="_Toc15377222"/>
      <w:r>
        <w:rPr>
          <w:rFonts w:hint="eastAsia" w:ascii="仿宋" w:hAnsi="仿宋" w:eastAsia="仿宋"/>
          <w:b/>
          <w:sz w:val="32"/>
          <w:szCs w:val="32"/>
        </w:rPr>
        <w:t>（一）机关运行经费支出情况</w:t>
      </w:r>
      <w:bookmarkEnd w:id="71"/>
      <w:bookmarkEnd w:id="72"/>
    </w:p>
    <w:p>
      <w:pPr>
        <w:spacing w:line="600" w:lineRule="exact"/>
        <w:ind w:firstLine="640" w:firstLineChars="200"/>
        <w:rPr>
          <w:rFonts w:hint="default" w:ascii="仿宋" w:hAnsi="仿宋" w:eastAsia="仿宋_GB2312"/>
          <w:b/>
          <w:sz w:val="32"/>
          <w:szCs w:val="32"/>
          <w:lang w:val="en-US"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剑阁县龙源镇卫生院</w:t>
      </w:r>
      <w:r>
        <w:rPr>
          <w:rFonts w:hint="eastAsia" w:ascii="仿宋_GB2312" w:eastAsia="仿宋_GB2312"/>
          <w:sz w:val="32"/>
          <w:szCs w:val="32"/>
        </w:rPr>
        <w:t>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本单位属于事业单位，无机关运行经费支出。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3" w:name="_Toc15377223"/>
      <w:bookmarkStart w:id="74" w:name="_Toc3489"/>
      <w:r>
        <w:rPr>
          <w:rFonts w:hint="eastAsia" w:ascii="仿宋" w:hAnsi="仿宋" w:eastAsia="仿宋"/>
          <w:b/>
          <w:sz w:val="32"/>
          <w:szCs w:val="32"/>
        </w:rPr>
        <w:t>（二）政府采购支出情况</w:t>
      </w:r>
      <w:bookmarkEnd w:id="73"/>
      <w:bookmarkEnd w:id="7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剑阁县龙源镇卫生院</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5" w:name="_Toc15377224"/>
      <w:bookmarkStart w:id="76" w:name="_Toc23632"/>
      <w:r>
        <w:rPr>
          <w:rFonts w:hint="eastAsia" w:ascii="仿宋" w:hAnsi="仿宋" w:eastAsia="仿宋"/>
          <w:b/>
          <w:sz w:val="32"/>
          <w:szCs w:val="32"/>
        </w:rPr>
        <w:t>（三）国有资产占有使用情况</w:t>
      </w:r>
      <w:bookmarkEnd w:id="75"/>
      <w:bookmarkEnd w:id="76"/>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剑阁县龙源镇卫生院</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widowControl/>
        <w:jc w:val="left"/>
        <w:rPr>
          <w:rFonts w:ascii="仿宋_GB2312" w:eastAsia="仿宋_GB2312"/>
          <w:b/>
          <w:sz w:val="32"/>
          <w:szCs w:val="32"/>
        </w:rPr>
      </w:pPr>
    </w:p>
    <w:p>
      <w:pPr>
        <w:numPr>
          <w:ilvl w:val="0"/>
          <w:numId w:val="4"/>
        </w:numPr>
        <w:spacing w:line="600" w:lineRule="exact"/>
        <w:ind w:firstLine="660" w:firstLineChars="150"/>
        <w:jc w:val="center"/>
        <w:outlineLvl w:val="0"/>
        <w:rPr>
          <w:rStyle w:val="29"/>
          <w:rFonts w:ascii="黑体" w:hAnsi="黑体" w:eastAsia="黑体"/>
          <w:b w:val="0"/>
        </w:rPr>
      </w:pPr>
      <w:bookmarkStart w:id="77" w:name="_Toc943"/>
      <w:bookmarkStart w:id="78" w:name="_Toc15396613"/>
      <w:bookmarkStart w:id="79" w:name="_Toc15377225"/>
      <w:r>
        <w:rPr>
          <w:rFonts w:hint="eastAsia" w:ascii="黑体" w:hAnsi="黑体" w:eastAsia="黑体"/>
          <w:sz w:val="44"/>
          <w:szCs w:val="44"/>
        </w:rPr>
        <w:t>名</w:t>
      </w:r>
      <w:r>
        <w:rPr>
          <w:rStyle w:val="29"/>
          <w:rFonts w:hint="eastAsia" w:ascii="黑体" w:hAnsi="黑体" w:eastAsia="黑体"/>
          <w:b w:val="0"/>
        </w:rPr>
        <w:t>词解释</w:t>
      </w:r>
      <w:bookmarkEnd w:id="77"/>
      <w:bookmarkEnd w:id="78"/>
      <w:bookmarkEnd w:id="79"/>
    </w:p>
    <w:p>
      <w:pPr>
        <w:spacing w:line="600" w:lineRule="exact"/>
        <w:jc w:val="left"/>
        <w:rPr>
          <w:rFonts w:ascii="宋体"/>
          <w:b/>
          <w:sz w:val="44"/>
          <w:szCs w:val="44"/>
        </w:rPr>
      </w:pPr>
    </w:p>
    <w:p>
      <w:pPr>
        <w:numPr>
          <w:ilvl w:val="0"/>
          <w:numId w:val="5"/>
        </w:numPr>
        <w:spacing w:line="600" w:lineRule="exact"/>
        <w:ind w:left="0" w:leftChars="0" w:firstLine="0" w:firstLineChars="0"/>
        <w:jc w:val="left"/>
        <w:outlineLvl w:val="0"/>
        <w:rPr>
          <w:rFonts w:ascii="宋体" w:hAnsi="宋体" w:eastAsia="宋体" w:cs="宋体"/>
          <w:sz w:val="24"/>
          <w:szCs w:val="24"/>
        </w:rPr>
      </w:pPr>
      <w:bookmarkStart w:id="80" w:name="_Toc15377226"/>
      <w:r>
        <w:rPr>
          <w:rFonts w:hint="eastAsia" w:ascii="仿宋" w:hAnsi="仿宋" w:eastAsia="仿宋" w:cs="仿宋"/>
          <w:sz w:val="32"/>
          <w:szCs w:val="32"/>
        </w:rPr>
        <w:t>财政拨款收入：指单位从同级财政部门取得的财政预算资金。</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事业收入：指事业单位开展专业业务活动及辅助活动取得的收入。</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其他收入：指单位取得的除上述收入以外的各项收入。</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社会保障和就业（类）行政事业单位养老支出（款）机关事业单位基本养老保险缴费支出（项）: 指部门实施养老保险制度由单位缴纳的养老保险费的支出。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卫生健康支出（类）基层医疗卫生机构（款）乡镇卫生院（项）:反映用于乡镇卫生院的支出。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卫生健康支出（类）基层医疗卫生机构（款）其他基层医疗卫生机构支出（项）:反映除上述项目以外的其他用于基层医疗卫生机构的支出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卫生健康支出（类）公共卫生（款）基本公共卫生服务（项）:反映基本公共卫生服务支出。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卫生健康支出（类）行政事业单位医疗（款）事业单位医疗（项）:指事业单位用于缴纳单位基本医疗保险支出。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卫生健康支出（类）其他卫生健康支出（款）其他卫生健康支出（项）:反映除上述项目以外其他用于卫生健康方面的支出。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住房保障支出（类）住房改革支出（款）住房公积金（项）:反映行政事业单位按人力资源和社会保障部、财政部规定的基本工资和津贴补贴以及规定比例为职工缴纳的住房公积金。</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基本支出：指为保障机构正常运转、完成日常工作任务而发生的人员支出和公用支出。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spacing w:before="93"/>
        <w:rPr>
          <w:rFonts w:hAnsi="Calibri" w:cs="仿宋"/>
          <w:sz w:val="32"/>
          <w:szCs w:val="32"/>
        </w:rPr>
      </w:pPr>
      <w:bookmarkStart w:id="81" w:name="_Toc15396618"/>
    </w:p>
    <w:p>
      <w:pPr>
        <w:spacing w:line="600" w:lineRule="exact"/>
        <w:jc w:val="center"/>
        <w:outlineLvl w:val="0"/>
        <w:rPr>
          <w:rFonts w:hint="eastAsia" w:ascii="黑体" w:hAnsi="黑体" w:eastAsia="黑体"/>
          <w:sz w:val="44"/>
          <w:szCs w:val="44"/>
        </w:rPr>
      </w:pPr>
      <w:bookmarkStart w:id="82" w:name="_Toc5692"/>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Fonts w:hint="eastAsia" w:ascii="黑体" w:hAnsi="黑体" w:eastAsia="黑体"/>
          <w:sz w:val="44"/>
          <w:szCs w:val="44"/>
          <w:lang w:val="en-US" w:eastAsia="zh-CN"/>
        </w:rPr>
        <w:t>四</w:t>
      </w:r>
      <w:r>
        <w:rPr>
          <w:rStyle w:val="29"/>
          <w:rFonts w:hint="eastAsia" w:ascii="黑体" w:hAnsi="黑体" w:eastAsia="黑体"/>
          <w:b w:val="0"/>
        </w:rPr>
        <w:t>部分 附表</w:t>
      </w:r>
      <w:bookmarkEnd w:id="80"/>
      <w:bookmarkEnd w:id="81"/>
      <w:bookmarkEnd w:id="82"/>
      <w:bookmarkStart w:id="83" w:name="_Toc15396619"/>
    </w:p>
    <w:p>
      <w:pPr>
        <w:pStyle w:val="4"/>
        <w:rPr>
          <w:rFonts w:ascii="仿宋" w:hAnsi="仿宋" w:eastAsia="仿宋"/>
        </w:rPr>
      </w:pPr>
      <w:bookmarkStart w:id="84" w:name="_Toc21328"/>
      <w:r>
        <w:rPr>
          <w:rFonts w:hint="eastAsia" w:ascii="仿宋" w:hAnsi="仿宋" w:eastAsia="仿宋"/>
          <w:b w:val="0"/>
        </w:rPr>
        <w:t>一、收</w:t>
      </w:r>
      <w:r>
        <w:rPr>
          <w:rStyle w:val="30"/>
          <w:rFonts w:hint="eastAsia" w:ascii="仿宋" w:hAnsi="仿宋" w:eastAsia="仿宋"/>
          <w:b w:val="0"/>
          <w:bCs w:val="0"/>
        </w:rPr>
        <w:t>入支出决算总表</w:t>
      </w:r>
      <w:bookmarkEnd w:id="83"/>
      <w:bookmarkEnd w:id="84"/>
    </w:p>
    <w:p>
      <w:pPr>
        <w:pStyle w:val="4"/>
        <w:rPr>
          <w:rFonts w:ascii="仿宋" w:hAnsi="仿宋" w:eastAsia="仿宋"/>
        </w:rPr>
      </w:pPr>
      <w:bookmarkStart w:id="85" w:name="_Toc15396620"/>
      <w:bookmarkStart w:id="86" w:name="_Toc32041"/>
      <w:r>
        <w:rPr>
          <w:rFonts w:hint="eastAsia" w:ascii="仿宋" w:hAnsi="仿宋" w:eastAsia="仿宋"/>
          <w:b w:val="0"/>
        </w:rPr>
        <w:t>二、收</w:t>
      </w:r>
      <w:r>
        <w:rPr>
          <w:rStyle w:val="30"/>
          <w:rFonts w:hint="eastAsia" w:ascii="仿宋" w:hAnsi="仿宋" w:eastAsia="仿宋"/>
          <w:b w:val="0"/>
          <w:bCs w:val="0"/>
        </w:rPr>
        <w:t>入决算表</w:t>
      </w:r>
      <w:bookmarkEnd w:id="85"/>
      <w:bookmarkEnd w:id="86"/>
    </w:p>
    <w:p>
      <w:pPr>
        <w:pStyle w:val="4"/>
        <w:rPr>
          <w:rFonts w:ascii="仿宋" w:hAnsi="仿宋" w:eastAsia="仿宋"/>
        </w:rPr>
      </w:pPr>
      <w:bookmarkStart w:id="87" w:name="_Toc15396621"/>
      <w:bookmarkStart w:id="88" w:name="_Toc2408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87"/>
      <w:bookmarkEnd w:id="88"/>
    </w:p>
    <w:p>
      <w:pPr>
        <w:pStyle w:val="4"/>
        <w:rPr>
          <w:rFonts w:ascii="仿宋" w:hAnsi="仿宋" w:eastAsia="仿宋"/>
          <w:b w:val="0"/>
        </w:rPr>
      </w:pPr>
      <w:bookmarkStart w:id="89" w:name="_Toc15396622"/>
      <w:bookmarkStart w:id="90" w:name="_Toc23283"/>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89"/>
      <w:bookmarkEnd w:id="90"/>
    </w:p>
    <w:p>
      <w:pPr>
        <w:pStyle w:val="4"/>
        <w:rPr>
          <w:rStyle w:val="30"/>
          <w:rFonts w:ascii="仿宋" w:hAnsi="仿宋" w:eastAsia="仿宋"/>
          <w:b w:val="0"/>
          <w:bCs w:val="0"/>
        </w:rPr>
      </w:pPr>
      <w:bookmarkStart w:id="91" w:name="_Toc5296"/>
      <w:bookmarkStart w:id="92"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91"/>
      <w:bookmarkEnd w:id="92"/>
      <w:bookmarkStart w:id="93" w:name="_Toc15396624"/>
    </w:p>
    <w:p>
      <w:pPr>
        <w:pStyle w:val="4"/>
        <w:rPr>
          <w:rFonts w:ascii="仿宋" w:hAnsi="仿宋" w:eastAsia="仿宋"/>
        </w:rPr>
      </w:pPr>
      <w:bookmarkStart w:id="94" w:name="_Toc26819"/>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93"/>
      <w:bookmarkEnd w:id="94"/>
    </w:p>
    <w:p>
      <w:pPr>
        <w:pStyle w:val="4"/>
        <w:rPr>
          <w:rFonts w:ascii="仿宋" w:hAnsi="仿宋" w:eastAsia="仿宋"/>
        </w:rPr>
      </w:pPr>
      <w:bookmarkStart w:id="95" w:name="_Toc29018"/>
      <w:bookmarkStart w:id="96"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95"/>
      <w:bookmarkEnd w:id="96"/>
    </w:p>
    <w:p>
      <w:pPr>
        <w:pStyle w:val="4"/>
        <w:rPr>
          <w:rFonts w:ascii="仿宋" w:hAnsi="仿宋" w:eastAsia="仿宋"/>
        </w:rPr>
      </w:pPr>
      <w:bookmarkStart w:id="97" w:name="_Toc15396626"/>
      <w:bookmarkStart w:id="98" w:name="_Toc28434"/>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97"/>
      <w:bookmarkEnd w:id="98"/>
    </w:p>
    <w:p>
      <w:pPr>
        <w:pStyle w:val="4"/>
        <w:rPr>
          <w:rFonts w:ascii="仿宋" w:hAnsi="仿宋" w:eastAsia="仿宋"/>
        </w:rPr>
      </w:pPr>
      <w:bookmarkStart w:id="99" w:name="_Toc32161"/>
      <w:bookmarkStart w:id="100"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99"/>
      <w:bookmarkEnd w:id="100"/>
    </w:p>
    <w:p>
      <w:pPr>
        <w:pStyle w:val="4"/>
        <w:rPr>
          <w:rFonts w:ascii="仿宋" w:hAnsi="仿宋" w:eastAsia="仿宋"/>
        </w:rPr>
      </w:pPr>
      <w:bookmarkStart w:id="101" w:name="_Toc15396628"/>
      <w:bookmarkStart w:id="102" w:name="_Toc4160"/>
      <w:r>
        <w:rPr>
          <w:rStyle w:val="30"/>
          <w:rFonts w:hint="eastAsia" w:ascii="仿宋" w:hAnsi="仿宋" w:eastAsia="仿宋"/>
          <w:b w:val="0"/>
          <w:bCs w:val="0"/>
        </w:rPr>
        <w:t>十、</w:t>
      </w:r>
      <w:bookmarkEnd w:id="101"/>
      <w:r>
        <w:rPr>
          <w:rFonts w:hint="eastAsia" w:ascii="仿宋" w:hAnsi="仿宋" w:eastAsia="仿宋"/>
          <w:b w:val="0"/>
        </w:rPr>
        <w:t>政</w:t>
      </w:r>
      <w:r>
        <w:rPr>
          <w:rStyle w:val="30"/>
          <w:rFonts w:hint="eastAsia" w:ascii="仿宋" w:hAnsi="仿宋" w:eastAsia="仿宋"/>
          <w:b w:val="0"/>
          <w:bCs w:val="0"/>
        </w:rPr>
        <w:t>府性基金预算财政拨款收入支出决算表</w:t>
      </w:r>
      <w:bookmarkEnd w:id="102"/>
    </w:p>
    <w:p>
      <w:pPr>
        <w:pStyle w:val="4"/>
        <w:rPr>
          <w:rFonts w:ascii="仿宋" w:hAnsi="仿宋" w:eastAsia="仿宋"/>
        </w:rPr>
      </w:pPr>
      <w:bookmarkStart w:id="103" w:name="_Toc15396629"/>
      <w:bookmarkStart w:id="104" w:name="_Toc23854"/>
      <w:r>
        <w:rPr>
          <w:rStyle w:val="30"/>
          <w:rFonts w:hint="eastAsia" w:ascii="仿宋" w:hAnsi="仿宋" w:eastAsia="仿宋"/>
          <w:b w:val="0"/>
          <w:bCs w:val="0"/>
        </w:rPr>
        <w:t>十一、</w:t>
      </w:r>
      <w:bookmarkEnd w:id="103"/>
      <w:r>
        <w:rPr>
          <w:rFonts w:hint="eastAsia" w:ascii="仿宋" w:hAnsi="仿宋" w:eastAsia="仿宋"/>
          <w:b w:val="0"/>
        </w:rPr>
        <w:t>国</w:t>
      </w:r>
      <w:r>
        <w:rPr>
          <w:rStyle w:val="30"/>
          <w:rFonts w:hint="eastAsia" w:ascii="仿宋" w:hAnsi="仿宋" w:eastAsia="仿宋"/>
          <w:b w:val="0"/>
          <w:bCs w:val="0"/>
        </w:rPr>
        <w:t>有资本经营预算财政拨款收入支出决算表</w:t>
      </w:r>
      <w:bookmarkEnd w:id="104"/>
    </w:p>
    <w:p>
      <w:pPr>
        <w:pStyle w:val="4"/>
        <w:rPr>
          <w:rFonts w:ascii="仿宋" w:hAnsi="仿宋" w:eastAsia="仿宋"/>
        </w:rPr>
      </w:pPr>
      <w:bookmarkStart w:id="105" w:name="_Toc15396630"/>
      <w:bookmarkStart w:id="106" w:name="_Toc26867"/>
      <w:r>
        <w:rPr>
          <w:rStyle w:val="30"/>
          <w:rFonts w:hint="eastAsia" w:ascii="仿宋" w:hAnsi="仿宋" w:eastAsia="仿宋"/>
          <w:b w:val="0"/>
          <w:bCs w:val="0"/>
        </w:rPr>
        <w:t>十二、</w:t>
      </w:r>
      <w:bookmarkEnd w:id="105"/>
      <w:r>
        <w:rPr>
          <w:rStyle w:val="30"/>
          <w:rFonts w:hint="eastAsia" w:ascii="仿宋" w:hAnsi="仿宋" w:eastAsia="仿宋"/>
          <w:b w:val="0"/>
          <w:bCs w:val="0"/>
        </w:rPr>
        <w:t>国有资本经营预算财政拨款支出决算表</w:t>
      </w:r>
      <w:bookmarkEnd w:id="106"/>
    </w:p>
    <w:p>
      <w:pPr>
        <w:pStyle w:val="4"/>
        <w:rPr>
          <w:rFonts w:eastAsia="仿宋"/>
        </w:rPr>
      </w:pPr>
      <w:bookmarkStart w:id="107" w:name="_Toc15396631"/>
      <w:bookmarkStart w:id="108" w:name="_Toc11050"/>
      <w:r>
        <w:rPr>
          <w:rStyle w:val="30"/>
          <w:rFonts w:hint="eastAsia" w:ascii="仿宋" w:hAnsi="仿宋" w:eastAsia="仿宋"/>
          <w:b w:val="0"/>
          <w:bCs w:val="0"/>
        </w:rPr>
        <w:t>十三、</w:t>
      </w:r>
      <w:bookmarkEnd w:id="107"/>
      <w:r>
        <w:rPr>
          <w:rStyle w:val="30"/>
          <w:rFonts w:hint="eastAsia" w:ascii="仿宋" w:hAnsi="仿宋" w:eastAsia="仿宋"/>
          <w:b w:val="0"/>
          <w:bCs w:val="0"/>
        </w:rPr>
        <w:t>财政拨款“三公”经费支出决算表</w:t>
      </w:r>
      <w:bookmarkEnd w:id="108"/>
    </w:p>
    <w:p>
      <w:pPr>
        <w:pStyle w:val="4"/>
        <w:rPr>
          <w:rFonts w:eastAsia="仿宋"/>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3FA7FBB"/>
    <w:multiLevelType w:val="multilevel"/>
    <w:tmpl w:val="13FA7FBB"/>
    <w:lvl w:ilvl="0" w:tentative="0">
      <w:start w:val="1"/>
      <w:numFmt w:val="decimal"/>
      <w:lvlText w:val="%1."/>
      <w:lvlJc w:val="left"/>
      <w:pPr>
        <w:tabs>
          <w:tab w:val="left" w:pos="312"/>
        </w:tabs>
      </w:p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jZhOThhOGZiYzQwNWYwZTFhMmI3MTU3Nzg2Nj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5C9"/>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C072F6"/>
    <w:rsid w:val="02F24D14"/>
    <w:rsid w:val="053A62B5"/>
    <w:rsid w:val="05BE4923"/>
    <w:rsid w:val="05F65A27"/>
    <w:rsid w:val="08B76A65"/>
    <w:rsid w:val="099D32E7"/>
    <w:rsid w:val="09FD4562"/>
    <w:rsid w:val="0A2032A3"/>
    <w:rsid w:val="0A3B60B9"/>
    <w:rsid w:val="0AEF1552"/>
    <w:rsid w:val="0B8A37D8"/>
    <w:rsid w:val="0C344605"/>
    <w:rsid w:val="0F5845D2"/>
    <w:rsid w:val="0FC4358C"/>
    <w:rsid w:val="10C055FF"/>
    <w:rsid w:val="10D60BC7"/>
    <w:rsid w:val="112E0A6E"/>
    <w:rsid w:val="118107EC"/>
    <w:rsid w:val="11DD6519"/>
    <w:rsid w:val="128B7413"/>
    <w:rsid w:val="15410EB8"/>
    <w:rsid w:val="15D556D4"/>
    <w:rsid w:val="15E307B6"/>
    <w:rsid w:val="16594BD9"/>
    <w:rsid w:val="16BB723D"/>
    <w:rsid w:val="16E3521D"/>
    <w:rsid w:val="18015F3F"/>
    <w:rsid w:val="18BE06A8"/>
    <w:rsid w:val="18BE5E47"/>
    <w:rsid w:val="19E82D68"/>
    <w:rsid w:val="1A5F0494"/>
    <w:rsid w:val="1A9137F9"/>
    <w:rsid w:val="1BBB14FC"/>
    <w:rsid w:val="1BE8440E"/>
    <w:rsid w:val="1D155CEE"/>
    <w:rsid w:val="1EAF0A4E"/>
    <w:rsid w:val="1EE61F3B"/>
    <w:rsid w:val="2038074A"/>
    <w:rsid w:val="205F6C5D"/>
    <w:rsid w:val="20F57F95"/>
    <w:rsid w:val="21074B51"/>
    <w:rsid w:val="221E2D1A"/>
    <w:rsid w:val="23151B65"/>
    <w:rsid w:val="240371BF"/>
    <w:rsid w:val="25711CC6"/>
    <w:rsid w:val="25C741E6"/>
    <w:rsid w:val="26015955"/>
    <w:rsid w:val="262449B7"/>
    <w:rsid w:val="263014C1"/>
    <w:rsid w:val="26682FCB"/>
    <w:rsid w:val="27842671"/>
    <w:rsid w:val="29FD04D3"/>
    <w:rsid w:val="2ABE7A3E"/>
    <w:rsid w:val="2C835A75"/>
    <w:rsid w:val="2CA234A8"/>
    <w:rsid w:val="2CE37ABA"/>
    <w:rsid w:val="2E0E48B1"/>
    <w:rsid w:val="2E4005F6"/>
    <w:rsid w:val="2EFA178C"/>
    <w:rsid w:val="30B46D73"/>
    <w:rsid w:val="31571A32"/>
    <w:rsid w:val="319F7F4E"/>
    <w:rsid w:val="34EE6D1B"/>
    <w:rsid w:val="37056AEF"/>
    <w:rsid w:val="383438BF"/>
    <w:rsid w:val="383D272C"/>
    <w:rsid w:val="39AE70AB"/>
    <w:rsid w:val="3AF51D62"/>
    <w:rsid w:val="3B7825AF"/>
    <w:rsid w:val="3C0C0783"/>
    <w:rsid w:val="3C3F55BF"/>
    <w:rsid w:val="3C6D46D5"/>
    <w:rsid w:val="3E424EE6"/>
    <w:rsid w:val="3F9F3A96"/>
    <w:rsid w:val="411E0E78"/>
    <w:rsid w:val="4238599F"/>
    <w:rsid w:val="426F0571"/>
    <w:rsid w:val="429C3A16"/>
    <w:rsid w:val="451806D8"/>
    <w:rsid w:val="46935C55"/>
    <w:rsid w:val="47A8587B"/>
    <w:rsid w:val="48BF60AB"/>
    <w:rsid w:val="493C27E9"/>
    <w:rsid w:val="496F39ED"/>
    <w:rsid w:val="49FF41D3"/>
    <w:rsid w:val="4A9B157C"/>
    <w:rsid w:val="4BDE1FA3"/>
    <w:rsid w:val="4BE068DB"/>
    <w:rsid w:val="4BF6002B"/>
    <w:rsid w:val="4C486986"/>
    <w:rsid w:val="4D2015B6"/>
    <w:rsid w:val="4D3D2DC6"/>
    <w:rsid w:val="4E0D3C6F"/>
    <w:rsid w:val="4E9E37F0"/>
    <w:rsid w:val="4ECE2238"/>
    <w:rsid w:val="51D66A4D"/>
    <w:rsid w:val="51DB4B86"/>
    <w:rsid w:val="52852A94"/>
    <w:rsid w:val="533A7071"/>
    <w:rsid w:val="535F3A8F"/>
    <w:rsid w:val="54106B37"/>
    <w:rsid w:val="54550F67"/>
    <w:rsid w:val="54774E08"/>
    <w:rsid w:val="55333C3E"/>
    <w:rsid w:val="557F7CAC"/>
    <w:rsid w:val="559F36A0"/>
    <w:rsid w:val="570F30D6"/>
    <w:rsid w:val="574339E8"/>
    <w:rsid w:val="59434CD8"/>
    <w:rsid w:val="5994542D"/>
    <w:rsid w:val="59A468DF"/>
    <w:rsid w:val="5A1C7BB9"/>
    <w:rsid w:val="5BBE4BD2"/>
    <w:rsid w:val="5D386FF7"/>
    <w:rsid w:val="5EA44A4C"/>
    <w:rsid w:val="60822B6A"/>
    <w:rsid w:val="64CA39A1"/>
    <w:rsid w:val="6590360D"/>
    <w:rsid w:val="66FF4CA1"/>
    <w:rsid w:val="694F1A58"/>
    <w:rsid w:val="69630ADE"/>
    <w:rsid w:val="697B284D"/>
    <w:rsid w:val="698F6708"/>
    <w:rsid w:val="6A1968E0"/>
    <w:rsid w:val="6A635C30"/>
    <w:rsid w:val="6AFC3375"/>
    <w:rsid w:val="6C036D04"/>
    <w:rsid w:val="6C4A05C8"/>
    <w:rsid w:val="6C7114BB"/>
    <w:rsid w:val="6CB70490"/>
    <w:rsid w:val="6D3B1A89"/>
    <w:rsid w:val="6D6327D2"/>
    <w:rsid w:val="6DF97B42"/>
    <w:rsid w:val="6E452543"/>
    <w:rsid w:val="6F7000F4"/>
    <w:rsid w:val="71BF4EC2"/>
    <w:rsid w:val="72446F08"/>
    <w:rsid w:val="72695D6D"/>
    <w:rsid w:val="72734D90"/>
    <w:rsid w:val="72F041B5"/>
    <w:rsid w:val="730A2D19"/>
    <w:rsid w:val="7412278C"/>
    <w:rsid w:val="750E0A19"/>
    <w:rsid w:val="78FC330F"/>
    <w:rsid w:val="79385D4D"/>
    <w:rsid w:val="79E7B28D"/>
    <w:rsid w:val="7AB578FC"/>
    <w:rsid w:val="7C1D1005"/>
    <w:rsid w:val="7C372985"/>
    <w:rsid w:val="7DF849D9"/>
    <w:rsid w:val="7E875D6D"/>
    <w:rsid w:val="7ECB0114"/>
    <w:rsid w:val="7ECD5B66"/>
    <w:rsid w:val="7F3F0E77"/>
    <w:rsid w:val="7F620D8F"/>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99"/>
    <w:rPr>
      <w:rFonts w:ascii="宋体" w:hAnsi="Courier New" w:eastAsia="仿宋_GB2312" w:cs="Courier New"/>
      <w:b/>
      <w:sz w:val="32"/>
      <w:szCs w:val="21"/>
    </w:r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w:basedOn w:val="2"/>
    <w:qFormat/>
    <w:uiPriority w:val="0"/>
    <w:pPr>
      <w:ind w:firstLine="420" w:firstLineChars="100"/>
    </w:pPr>
  </w:style>
  <w:style w:type="paragraph" w:styleId="16">
    <w:name w:val="Body Text First Indent 2"/>
    <w:basedOn w:val="6"/>
    <w:next w:val="15"/>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字符"/>
    <w:link w:val="11"/>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字符"/>
    <w:link w:val="10"/>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字符"/>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8"/>
    <w:link w:val="3"/>
    <w:qFormat/>
    <w:uiPriority w:val="9"/>
    <w:rPr>
      <w:rFonts w:ascii="Times New Roman" w:hAnsi="Times New Roman"/>
      <w:b/>
      <w:bCs/>
      <w:kern w:val="44"/>
      <w:sz w:val="44"/>
      <w:szCs w:val="44"/>
    </w:rPr>
  </w:style>
  <w:style w:type="character" w:customStyle="1" w:styleId="30">
    <w:name w:val="标题 2 字符"/>
    <w:basedOn w:val="18"/>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8"/>
    <w:link w:val="9"/>
    <w:semiHidden/>
    <w:qFormat/>
    <w:uiPriority w:val="99"/>
    <w:rPr>
      <w:rFonts w:ascii="Times New Roman" w:hAnsi="Times New Roman"/>
      <w:kern w:val="2"/>
      <w:sz w:val="18"/>
      <w:szCs w:val="18"/>
    </w:rPr>
  </w:style>
  <w:style w:type="character" w:customStyle="1" w:styleId="33">
    <w:name w:val="标题 3 字符"/>
    <w:basedOn w:val="18"/>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14</Pages>
  <Words>4192</Words>
  <Characters>4509</Characters>
  <Lines>5</Lines>
  <Paragraphs>11</Paragraphs>
  <TotalTime>8</TotalTime>
  <ScaleCrop>false</ScaleCrop>
  <LinksUpToDate>false</LinksUpToDate>
  <CharactersWithSpaces>4575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NO LOVE</cp:lastModifiedBy>
  <cp:lastPrinted>2023-07-31T02:35:00Z</cp:lastPrinted>
  <dcterms:modified xsi:type="dcterms:W3CDTF">2023-10-29T03:19:10Z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D5F7DA52E92D4EC782C7070C9577B933_12</vt:lpwstr>
  </property>
</Properties>
</file>