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96475"/>
      <w:bookmarkStart w:id="4" w:name="_Toc147932962"/>
      <w:bookmarkStart w:id="5" w:name="_Toc15377193"/>
      <w:bookmarkStart w:id="6"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7932963"/>
      <w:bookmarkStart w:id="8" w:name="_Toc15396476"/>
      <w:bookmarkStart w:id="9" w:name="_Toc15377194"/>
      <w:bookmarkStart w:id="10" w:name="_Toc15378442"/>
      <w:bookmarkStart w:id="11" w:name="_Toc15377426"/>
      <w:bookmarkStart w:id="12" w:name="_Toc15396598"/>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rPr>
        <w:t>武连镇中心卫生院单位决算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pPr>
      <w:r>
        <w:rPr>
          <w:rFonts w:hint="eastAsia"/>
        </w:rPr>
        <w:t>公开时间：2023年10月2</w:t>
      </w:r>
      <w:r>
        <w:rPr>
          <w:rFonts w:hint="eastAsia"/>
          <w:lang w:val="en-US" w:eastAsia="zh-CN"/>
        </w:rPr>
        <w:t>9</w:t>
      </w:r>
      <w:bookmarkStart w:id="112" w:name="_GoBack"/>
      <w:bookmarkEnd w:id="112"/>
      <w:r>
        <w:rPr>
          <w:rFonts w:hint="eastAsia"/>
        </w:rPr>
        <w:t>日</w:t>
      </w:r>
    </w:p>
    <w:sdt>
      <w:sdtPr>
        <w:rPr>
          <w:rFonts w:ascii="Times New Roman" w:hAnsi="Times New Roman" w:eastAsia="宋体" w:cs="Times New Roman"/>
          <w:b w:val="0"/>
          <w:bCs w:val="0"/>
          <w:color w:val="auto"/>
          <w:kern w:val="2"/>
          <w:sz w:val="21"/>
          <w:szCs w:val="24"/>
          <w:lang w:val="zh-CN"/>
        </w:rPr>
        <w:id w:val="-991331561"/>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43"/>
          </w:pPr>
          <w:r>
            <w:rPr>
              <w:rFonts w:ascii="仿宋" w:hAnsi="仿宋" w:eastAsia="仿宋"/>
              <w:b w:val="0"/>
              <w:bCs w:val="0"/>
            </w:rPr>
            <w:fldChar w:fldCharType="begin"/>
          </w:r>
          <w:r>
            <w:instrText xml:space="preserve"> TOC \o "1-3" \h \z \u </w:instrText>
          </w:r>
          <w:r>
            <w:rPr>
              <w:rFonts w:ascii="仿宋" w:hAnsi="仿宋" w:eastAsia="仿宋"/>
              <w:b w:val="0"/>
              <w:bCs w:val="0"/>
            </w:rPr>
            <w:fldChar w:fldCharType="separate"/>
          </w:r>
        </w:p>
        <w:p>
          <w:pPr>
            <w:pStyle w:val="10"/>
            <w:rPr>
              <w:rFonts w:asciiTheme="minorHAnsi" w:hAnsiTheme="minorHAnsi" w:eastAsiaTheme="minorEastAsia" w:cstheme="minorBidi"/>
              <w:sz w:val="21"/>
              <w:szCs w:val="22"/>
            </w:rPr>
          </w:pPr>
          <w:r>
            <w:fldChar w:fldCharType="begin"/>
          </w:r>
          <w:r>
            <w:instrText xml:space="preserve"> HYPERLINK \l "_Toc147932965" </w:instrText>
          </w:r>
          <w:r>
            <w:fldChar w:fldCharType="separate"/>
          </w:r>
          <w:r>
            <w:rPr>
              <w:rStyle w:val="16"/>
              <w:rFonts w:hint="eastAsia" w:ascii="黑体" w:hAnsi="黑体" w:eastAsia="黑体"/>
            </w:rPr>
            <w:t>第一部分</w:t>
          </w:r>
          <w:r>
            <w:rPr>
              <w:rStyle w:val="16"/>
              <w:rFonts w:ascii="黑体" w:hAnsi="黑体" w:eastAsia="黑体"/>
            </w:rPr>
            <w:t xml:space="preserve"> </w:t>
          </w:r>
          <w:r>
            <w:rPr>
              <w:rStyle w:val="16"/>
              <w:rFonts w:hint="eastAsia" w:ascii="黑体" w:hAnsi="黑体" w:eastAsia="黑体"/>
            </w:rPr>
            <w:t>单位概况</w:t>
          </w:r>
          <w:r>
            <w:tab/>
          </w:r>
          <w:r>
            <w:fldChar w:fldCharType="begin"/>
          </w:r>
          <w:r>
            <w:instrText xml:space="preserve"> PAGEREF _Toc147932965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"_Toc147932966" </w:instrText>
          </w:r>
          <w:r>
            <w:fldChar w:fldCharType="separate"/>
          </w:r>
          <w:r>
            <w:rPr>
              <w:rStyle w:val="16"/>
              <w:rFonts w:hint="eastAsia" w:ascii="黑体" w:hAnsi="黑体" w:eastAsia="黑体"/>
            </w:rPr>
            <w:t>一、 主要职责</w:t>
          </w:r>
          <w:r>
            <w:tab/>
          </w:r>
          <w:r>
            <w:fldChar w:fldCharType="begin"/>
          </w:r>
          <w:r>
            <w:instrText xml:space="preserve"> PAGEREF _Toc147932966 \h </w:instrText>
          </w:r>
          <w:r>
            <w:fldChar w:fldCharType="separate"/>
          </w:r>
          <w:r>
            <w:t>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"_Toc147932967" </w:instrText>
          </w:r>
          <w:r>
            <w:fldChar w:fldCharType="separate"/>
          </w:r>
          <w:r>
            <w:rPr>
              <w:rStyle w:val="16"/>
              <w:rFonts w:hint="eastAsia" w:ascii="黑体" w:hAnsi="黑体" w:eastAsia="黑体"/>
            </w:rPr>
            <w:t>二、机构设置</w:t>
          </w:r>
          <w:r>
            <w:tab/>
          </w:r>
          <w:r>
            <w:fldChar w:fldCharType="begin"/>
          </w:r>
          <w:r>
            <w:instrText xml:space="preserve"> PAGEREF _Toc147932967 \h </w:instrText>
          </w:r>
          <w:r>
            <w:fldChar w:fldCharType="separate"/>
          </w:r>
          <w:r>
            <w:t>3</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"_Toc147932968" </w:instrText>
          </w:r>
          <w:r>
            <w:fldChar w:fldCharType="separate"/>
          </w:r>
          <w:r>
            <w:rPr>
              <w:rStyle w:val="16"/>
              <w:rFonts w:hint="eastAsia" w:ascii="黑体" w:hAnsi="黑体" w:eastAsia="黑体"/>
            </w:rPr>
            <w:t>第二部分</w:t>
          </w:r>
          <w:r>
            <w:rPr>
              <w:rStyle w:val="16"/>
              <w:rFonts w:ascii="黑体" w:hAnsi="黑体" w:eastAsia="黑体"/>
            </w:rPr>
            <w:t xml:space="preserve"> 2022</w:t>
          </w:r>
          <w:r>
            <w:rPr>
              <w:rStyle w:val="16"/>
              <w:rFonts w:hint="eastAsia" w:ascii="黑体" w:hAnsi="黑体" w:eastAsia="黑体"/>
            </w:rPr>
            <w:t>年度单位决算情况说明</w:t>
          </w:r>
          <w:r>
            <w:tab/>
          </w:r>
          <w:r>
            <w:fldChar w:fldCharType="begin"/>
          </w:r>
          <w:r>
            <w:instrText xml:space="preserve"> PAGEREF _Toc147932968 \h </w:instrText>
          </w:r>
          <w:r>
            <w:fldChar w:fldCharType="separate"/>
          </w:r>
          <w:r>
            <w:t>5</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"_Toc147932969" </w:instrText>
          </w:r>
          <w:r>
            <w:fldChar w:fldCharType="separate"/>
          </w:r>
          <w:r>
            <w:rPr>
              <w:rStyle w:val="16"/>
              <w:rFonts w:hint="eastAsia" w:ascii="黑体" w:hAnsi="黑体" w:eastAsia="黑体" w:cstheme="majorBidi"/>
              <w:bCs/>
            </w:rPr>
            <w:t>一、</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入支出决算总体情况说明</w:t>
          </w:r>
          <w:r>
            <w:tab/>
          </w:r>
          <w:r>
            <w:fldChar w:fldCharType="begin"/>
          </w:r>
          <w:r>
            <w:instrText xml:space="preserve"> PAGEREF _Toc147932969 \h </w:instrText>
          </w:r>
          <w:r>
            <w:fldChar w:fldCharType="separate"/>
          </w:r>
          <w:r>
            <w:t>5</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"_Toc147932970" </w:instrText>
          </w:r>
          <w:r>
            <w:fldChar w:fldCharType="separate"/>
          </w:r>
          <w:r>
            <w:rPr>
              <w:rStyle w:val="16"/>
              <w:rFonts w:hint="eastAsia" w:ascii="黑体" w:hAnsi="黑体" w:eastAsia="黑体" w:cstheme="majorBidi"/>
              <w:bCs/>
            </w:rPr>
            <w:t>二、</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入决算情况说明</w:t>
          </w:r>
          <w:r>
            <w:tab/>
          </w:r>
          <w:r>
            <w:fldChar w:fldCharType="begin"/>
          </w:r>
          <w:r>
            <w:instrText xml:space="preserve"> PAGEREF _Toc147932970 \h </w:instrText>
          </w:r>
          <w:r>
            <w:fldChar w:fldCharType="separate"/>
          </w:r>
          <w:r>
            <w:t>5</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"_Toc147932973" </w:instrText>
          </w:r>
          <w:r>
            <w:fldChar w:fldCharType="separate"/>
          </w:r>
          <w:r>
            <w:rPr>
              <w:rStyle w:val="16"/>
              <w:rFonts w:hint="eastAsia" w:ascii="黑体" w:hAnsi="黑体" w:eastAsia="黑体" w:cstheme="majorBidi"/>
              <w:bCs/>
            </w:rPr>
            <w:t>三、</w:t>
          </w:r>
          <w:r>
            <w:rPr>
              <w:rFonts w:asciiTheme="minorHAnsi" w:hAnsiTheme="minorHAnsi" w:eastAsiaTheme="minorEastAsia" w:cstheme="minorBidi"/>
              <w:szCs w:val="22"/>
            </w:rPr>
            <w:tab/>
          </w:r>
          <w:r>
            <w:rPr>
              <w:rStyle w:val="16"/>
              <w:rFonts w:hint="eastAsia" w:ascii="黑体" w:hAnsi="黑体" w:eastAsia="黑体"/>
            </w:rPr>
            <w:t>支</w:t>
          </w:r>
          <w:r>
            <w:rPr>
              <w:rStyle w:val="16"/>
              <w:rFonts w:hint="eastAsia" w:ascii="黑体" w:hAnsi="黑体" w:eastAsia="黑体" w:cstheme="majorBidi"/>
              <w:bCs/>
            </w:rPr>
            <w:t>出决算情况说明</w:t>
          </w:r>
          <w:r>
            <w:tab/>
          </w:r>
          <w:r>
            <w:fldChar w:fldCharType="begin"/>
          </w:r>
          <w:r>
            <w:instrText xml:space="preserve"> PAGEREF _Toc147932973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"_Toc147932976" </w:instrText>
          </w:r>
          <w:r>
            <w:fldChar w:fldCharType="separate"/>
          </w:r>
          <w:r>
            <w:rPr>
              <w:rStyle w:val="16"/>
              <w:rFonts w:hint="eastAsia" w:ascii="黑体" w:hAnsi="黑体" w:eastAsia="黑体"/>
            </w:rPr>
            <w:t>四、财</w:t>
          </w:r>
          <w:r>
            <w:rPr>
              <w:rStyle w:val="16"/>
              <w:rFonts w:hint="eastAsia" w:ascii="黑体" w:hAnsi="黑体" w:eastAsia="黑体" w:cstheme="majorBidi"/>
              <w:bCs/>
            </w:rPr>
            <w:t>政拨款收入支出决算总体情况说明</w:t>
          </w:r>
          <w:r>
            <w:tab/>
          </w:r>
          <w:r>
            <w:fldChar w:fldCharType="begin"/>
          </w:r>
          <w:r>
            <w:instrText xml:space="preserve"> PAGEREF _Toc147932976 \h </w:instrText>
          </w:r>
          <w:r>
            <w:fldChar w:fldCharType="separate"/>
          </w:r>
          <w:r>
            <w:t>6</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"_Toc147932977" </w:instrText>
          </w:r>
          <w:r>
            <w:fldChar w:fldCharType="separate"/>
          </w:r>
          <w:r>
            <w:rPr>
              <w:rStyle w:val="16"/>
              <w:rFonts w:hint="eastAsia" w:ascii="黑体" w:hAnsi="黑体" w:eastAsia="黑体"/>
            </w:rPr>
            <w:t>五、</w:t>
          </w:r>
          <w:r>
            <w:rPr>
              <w:rStyle w:val="16"/>
              <w:rFonts w:hint="eastAsia" w:ascii="黑体" w:hAnsi="黑体" w:eastAsia="黑体"/>
              <w:b/>
            </w:rPr>
            <w:t>一</w:t>
          </w:r>
          <w:r>
            <w:rPr>
              <w:rStyle w:val="16"/>
              <w:rFonts w:hint="eastAsia" w:ascii="黑体" w:hAnsi="黑体" w:eastAsia="黑体" w:cstheme="majorBidi"/>
              <w:bCs/>
            </w:rPr>
            <w:t>般公共预算财政拨款支出决算情况说明</w:t>
          </w:r>
          <w:r>
            <w:tab/>
          </w:r>
          <w:r>
            <w:fldChar w:fldCharType="begin"/>
          </w:r>
          <w:r>
            <w:instrText xml:space="preserve"> PAGEREF _Toc147932977 \h </w:instrText>
          </w:r>
          <w:r>
            <w:fldChar w:fldCharType="separate"/>
          </w:r>
          <w:r>
            <w:t>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"_Toc147932978" </w:instrText>
          </w:r>
          <w:r>
            <w:fldChar w:fldCharType="separate"/>
          </w:r>
          <w:r>
            <w:rPr>
              <w:rStyle w:val="16"/>
              <w:rFonts w:hint="eastAsia" w:ascii="仿宋" w:hAnsi="仿宋" w:eastAsia="仿宋"/>
              <w:b/>
            </w:rPr>
            <w:t>（一）一般公共预算财政拨款支出决算总体情况</w:t>
          </w:r>
          <w:r>
            <w:tab/>
          </w:r>
          <w:r>
            <w:fldChar w:fldCharType="begin"/>
          </w:r>
          <w:r>
            <w:instrText xml:space="preserve"> PAGEREF _Toc147932978 \h </w:instrText>
          </w:r>
          <w:r>
            <w:fldChar w:fldCharType="separate"/>
          </w:r>
          <w:r>
            <w:t>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"_Toc147932979" </w:instrText>
          </w:r>
          <w:r>
            <w:fldChar w:fldCharType="separate"/>
          </w:r>
          <w:r>
            <w:rPr>
              <w:rStyle w:val="16"/>
              <w:rFonts w:hint="eastAsia" w:ascii="仿宋" w:hAnsi="仿宋" w:eastAsia="仿宋"/>
              <w:b/>
            </w:rPr>
            <w:t>（二）一般公共预算财政拨款支出决算结构情况</w:t>
          </w:r>
          <w:r>
            <w:tab/>
          </w:r>
          <w:r>
            <w:fldChar w:fldCharType="begin"/>
          </w:r>
          <w:r>
            <w:instrText xml:space="preserve"> PAGEREF _Toc147932979 \h </w:instrText>
          </w:r>
          <w:r>
            <w:fldChar w:fldCharType="separate"/>
          </w:r>
          <w:r>
            <w:t>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"_Toc147932980" </w:instrText>
          </w:r>
          <w:r>
            <w:fldChar w:fldCharType="separate"/>
          </w:r>
          <w:r>
            <w:rPr>
              <w:rStyle w:val="16"/>
              <w:rFonts w:hint="eastAsia" w:ascii="仿宋" w:hAnsi="仿宋" w:eastAsia="仿宋"/>
              <w:b/>
            </w:rPr>
            <w:t>（三）一般公共预算财政拨款支出决算具体情况</w:t>
          </w:r>
          <w:r>
            <w:tab/>
          </w:r>
          <w:r>
            <w:fldChar w:fldCharType="begin"/>
          </w:r>
          <w:r>
            <w:instrText xml:space="preserve"> PAGEREF _Toc147932980 \h </w:instrText>
          </w:r>
          <w:r>
            <w:fldChar w:fldCharType="separate"/>
          </w:r>
          <w:r>
            <w:t>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"_Toc147932982" </w:instrText>
          </w:r>
          <w:r>
            <w:fldChar w:fldCharType="separate"/>
          </w:r>
          <w:r>
            <w:rPr>
              <w:rStyle w:val="16"/>
              <w:rFonts w:hint="eastAsia" w:ascii="黑体" w:eastAsia="黑体"/>
            </w:rPr>
            <w:t>六</w:t>
          </w:r>
          <w:r>
            <w:rPr>
              <w:rStyle w:val="16"/>
              <w:rFonts w:hint="eastAsia" w:ascii="黑体" w:eastAsia="黑体"/>
              <w:b/>
            </w:rPr>
            <w:t>、</w:t>
          </w:r>
          <w:r>
            <w:rPr>
              <w:rStyle w:val="16"/>
              <w:rFonts w:hint="eastAsia" w:ascii="黑体" w:hAnsi="黑体" w:eastAsia="黑体"/>
              <w:b/>
            </w:rPr>
            <w:t>一</w:t>
          </w:r>
          <w:r>
            <w:rPr>
              <w:rStyle w:val="16"/>
              <w:rFonts w:hint="eastAsia" w:ascii="黑体" w:hAnsi="黑体" w:eastAsia="黑体" w:cstheme="majorBidi"/>
              <w:bCs/>
            </w:rPr>
            <w:t>般公共预算财政拨款基本支出决算情况说明</w:t>
          </w:r>
          <w:r>
            <w:tab/>
          </w:r>
          <w:r>
            <w:fldChar w:fldCharType="begin"/>
          </w:r>
          <w:r>
            <w:instrText xml:space="preserve"> PAGEREF _Toc147932982 \h </w:instrText>
          </w:r>
          <w:r>
            <w:fldChar w:fldCharType="separate"/>
          </w:r>
          <w:r>
            <w:t>8</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"_Toc147932983" </w:instrText>
          </w:r>
          <w:r>
            <w:fldChar w:fldCharType="separate"/>
          </w:r>
          <w:r>
            <w:rPr>
              <w:rStyle w:val="16"/>
              <w:rFonts w:hint="eastAsia" w:ascii="黑体" w:eastAsia="黑体"/>
            </w:rPr>
            <w:t>七、</w:t>
          </w:r>
          <w:r>
            <w:rPr>
              <w:rStyle w:val="16"/>
              <w:rFonts w:hint="eastAsia" w:ascii="黑体" w:hAnsi="黑体" w:eastAsia="黑体" w:cstheme="majorBidi"/>
              <w:bCs/>
            </w:rPr>
            <w:t>财政拨款</w:t>
          </w:r>
          <w:r>
            <w:rPr>
              <w:rStyle w:val="16"/>
              <w:rFonts w:ascii="黑体" w:hAnsi="黑体" w:eastAsia="黑体" w:cstheme="majorBidi"/>
              <w:b/>
              <w:bCs/>
            </w:rPr>
            <w:t>“</w:t>
          </w:r>
          <w:r>
            <w:rPr>
              <w:rStyle w:val="16"/>
              <w:rFonts w:hint="eastAsia" w:ascii="黑体" w:hAnsi="黑体" w:eastAsia="黑体" w:cstheme="majorBidi"/>
              <w:bCs/>
            </w:rPr>
            <w:t>三公”经费支出决算情况说明</w:t>
          </w:r>
          <w:r>
            <w:tab/>
          </w:r>
          <w:r>
            <w:fldChar w:fldCharType="begin"/>
          </w:r>
          <w:r>
            <w:instrText xml:space="preserve"> PAGEREF _Toc147932983 \h </w:instrText>
          </w:r>
          <w:r>
            <w:fldChar w:fldCharType="separate"/>
          </w:r>
          <w:r>
            <w:t>8</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"_Toc147932984" </w:instrText>
          </w:r>
          <w:r>
            <w:fldChar w:fldCharType="separate"/>
          </w:r>
          <w:r>
            <w:rPr>
              <w:rStyle w:val="16"/>
              <w:rFonts w:hint="eastAsia" w:ascii="仿宋" w:hAnsi="仿宋" w:eastAsia="仿宋"/>
              <w:b/>
            </w:rPr>
            <w:t>（一）“三公”经费财政拨款支出决算总体情况说明</w:t>
          </w:r>
          <w:r>
            <w:tab/>
          </w:r>
          <w:r>
            <w:fldChar w:fldCharType="begin"/>
          </w:r>
          <w:r>
            <w:instrText xml:space="preserve"> PAGEREF _Toc147932984 \h </w:instrText>
          </w:r>
          <w:r>
            <w:fldChar w:fldCharType="separate"/>
          </w:r>
          <w:r>
            <w:t>8</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"_Toc147932985" </w:instrText>
          </w:r>
          <w:r>
            <w:fldChar w:fldCharType="separate"/>
          </w:r>
          <w:r>
            <w:rPr>
              <w:rStyle w:val="16"/>
              <w:rFonts w:hint="eastAsia" w:ascii="仿宋" w:hAnsi="仿宋" w:eastAsia="仿宋"/>
              <w:b/>
            </w:rPr>
            <w:t>（二）“三公”经费财政拨款支出决算具体情况说明</w:t>
          </w:r>
          <w:r>
            <w:tab/>
          </w:r>
          <w:r>
            <w:fldChar w:fldCharType="begin"/>
          </w:r>
          <w:r>
            <w:instrText xml:space="preserve"> PAGEREF _Toc147932985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"_Toc147932986" </w:instrText>
          </w:r>
          <w:r>
            <w:fldChar w:fldCharType="separate"/>
          </w:r>
          <w:r>
            <w:rPr>
              <w:rStyle w:val="16"/>
              <w:rFonts w:hint="eastAsia" w:ascii="黑体" w:eastAsia="黑体"/>
            </w:rPr>
            <w:t>八、</w:t>
          </w:r>
          <w:r>
            <w:rPr>
              <w:rStyle w:val="16"/>
              <w:rFonts w:hint="eastAsia" w:ascii="黑体" w:hAnsi="黑体" w:eastAsia="黑体" w:cstheme="majorBidi"/>
              <w:bCs/>
            </w:rPr>
            <w:t>政府性基金预算支出决算情况说明</w:t>
          </w:r>
          <w:r>
            <w:tab/>
          </w:r>
          <w:r>
            <w:fldChar w:fldCharType="begin"/>
          </w:r>
          <w:r>
            <w:instrText xml:space="preserve"> PAGEREF _Toc147932986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"_Toc147932987" </w:instrText>
          </w:r>
          <w:r>
            <w:fldChar w:fldCharType="separate"/>
          </w:r>
          <w:r>
            <w:rPr>
              <w:rStyle w:val="16"/>
              <w:rFonts w:hint="eastAsia" w:ascii="黑体" w:hAnsi="黑体" w:eastAsia="黑体" w:cstheme="majorBidi"/>
              <w:bCs/>
            </w:rPr>
            <w:t>九、 国有资本经营预算支出决算情况说明</w:t>
          </w:r>
          <w:r>
            <w:tab/>
          </w:r>
          <w:r>
            <w:fldChar w:fldCharType="begin"/>
          </w:r>
          <w:r>
            <w:instrText xml:space="preserve"> PAGEREF _Toc147932987 \h </w:instrText>
          </w:r>
          <w:r>
            <w:fldChar w:fldCharType="separate"/>
          </w:r>
          <w:r>
            <w:t>10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"_Toc147932988" </w:instrText>
          </w:r>
          <w:r>
            <w:fldChar w:fldCharType="separate"/>
          </w:r>
          <w:r>
            <w:rPr>
              <w:rStyle w:val="16"/>
              <w:rFonts w:hint="eastAsia" w:ascii="黑体" w:hAnsi="黑体" w:eastAsia="黑体" w:cstheme="majorBidi"/>
              <w:bCs/>
            </w:rPr>
            <w:t>十、 其他重要事项的情况说明</w:t>
          </w:r>
          <w:r>
            <w:tab/>
          </w:r>
          <w:r>
            <w:fldChar w:fldCharType="begin"/>
          </w:r>
          <w:r>
            <w:instrText xml:space="preserve"> PAGEREF _Toc147932988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"_Toc147932989" </w:instrText>
          </w:r>
          <w:r>
            <w:fldChar w:fldCharType="separate"/>
          </w:r>
          <w:r>
            <w:rPr>
              <w:rStyle w:val="16"/>
              <w:rFonts w:hint="eastAsia" w:ascii="仿宋" w:hAnsi="仿宋" w:eastAsia="仿宋"/>
              <w:b/>
            </w:rPr>
            <w:t>（一）机关运行经费支出情况</w:t>
          </w:r>
          <w:r>
            <w:tab/>
          </w:r>
          <w:r>
            <w:fldChar w:fldCharType="begin"/>
          </w:r>
          <w:r>
            <w:instrText xml:space="preserve"> PAGEREF _Toc147932989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"_Toc147932990" </w:instrText>
          </w:r>
          <w:r>
            <w:fldChar w:fldCharType="separate"/>
          </w:r>
          <w:r>
            <w:rPr>
              <w:rStyle w:val="16"/>
              <w:rFonts w:hint="eastAsia" w:ascii="仿宋" w:hAnsi="仿宋" w:eastAsia="仿宋"/>
              <w:b/>
            </w:rPr>
            <w:t>（二）政府采购支出情况</w:t>
          </w:r>
          <w:r>
            <w:tab/>
          </w:r>
          <w:r>
            <w:fldChar w:fldCharType="begin"/>
          </w:r>
          <w:r>
            <w:instrText xml:space="preserve"> PAGEREF _Toc147932990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"_Toc147932991" </w:instrText>
          </w:r>
          <w:r>
            <w:fldChar w:fldCharType="separate"/>
          </w:r>
          <w:r>
            <w:rPr>
              <w:rStyle w:val="16"/>
              <w:rFonts w:hint="eastAsia" w:ascii="仿宋" w:hAnsi="仿宋" w:eastAsia="仿宋"/>
              <w:b/>
            </w:rPr>
            <w:t>（三）国有资产占有使用情况</w:t>
          </w:r>
          <w:r>
            <w:tab/>
          </w:r>
          <w:r>
            <w:fldChar w:fldCharType="begin"/>
          </w:r>
          <w:r>
            <w:instrText xml:space="preserve"> PAGEREF _Toc147932991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"_Toc147932992" </w:instrText>
          </w:r>
          <w:r>
            <w:fldChar w:fldCharType="separate"/>
          </w:r>
          <w:r>
            <w:rPr>
              <w:rStyle w:val="16"/>
              <w:rFonts w:hint="eastAsia" w:ascii="仿宋" w:hAnsi="仿宋" w:eastAsia="仿宋"/>
              <w:b/>
            </w:rPr>
            <w:t>（四）预算绩效管理情况</w:t>
          </w:r>
          <w:r>
            <w:tab/>
          </w:r>
          <w:r>
            <w:fldChar w:fldCharType="begin"/>
          </w:r>
          <w:r>
            <w:instrText xml:space="preserve"> PAGEREF _Toc147932992 \h </w:instrText>
          </w:r>
          <w:r>
            <w:fldChar w:fldCharType="separate"/>
          </w:r>
          <w:r>
            <w:t>10</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"_Toc147932993" </w:instrText>
          </w:r>
          <w:r>
            <w:fldChar w:fldCharType="separate"/>
          </w:r>
          <w:r>
            <w:rPr>
              <w:rStyle w:val="16"/>
              <w:rFonts w:hint="eastAsia" w:ascii="黑体" w:hAnsi="黑体" w:eastAsia="黑体" w:cs="黑体"/>
              <w:bCs/>
              <w:kern w:val="44"/>
            </w:rPr>
            <w:t>第三部分</w:t>
          </w:r>
          <w:r>
            <w:rPr>
              <w:rStyle w:val="16"/>
              <w:rFonts w:hint="eastAsia" w:ascii="黑体" w:hAnsi="黑体" w:eastAsia="黑体"/>
            </w:rPr>
            <w:t xml:space="preserve"> 名</w:t>
          </w:r>
          <w:r>
            <w:rPr>
              <w:rStyle w:val="16"/>
              <w:rFonts w:hint="eastAsia" w:ascii="黑体" w:hAnsi="黑体" w:eastAsia="黑体"/>
              <w:bCs/>
              <w:kern w:val="44"/>
            </w:rPr>
            <w:t>词解释</w:t>
          </w:r>
          <w:r>
            <w:tab/>
          </w:r>
          <w:r>
            <w:fldChar w:fldCharType="begin"/>
          </w:r>
          <w:r>
            <w:instrText xml:space="preserve"> PAGEREF _Toc147932993 \h </w:instrText>
          </w:r>
          <w:r>
            <w:fldChar w:fldCharType="separate"/>
          </w:r>
          <w:r>
            <w:t>11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"_Toc147932994" </w:instrText>
          </w:r>
          <w:r>
            <w:fldChar w:fldCharType="separate"/>
          </w:r>
          <w:r>
            <w:rPr>
              <w:rStyle w:val="16"/>
              <w:rFonts w:hint="eastAsia" w:ascii="黑体" w:hAnsi="黑体" w:eastAsia="黑体"/>
            </w:rPr>
            <w:t>第</w:t>
          </w:r>
          <w:r>
            <w:rPr>
              <w:rStyle w:val="16"/>
              <w:rFonts w:hint="eastAsia" w:ascii="黑体" w:hAnsi="黑体" w:eastAsia="黑体"/>
              <w:bCs/>
              <w:kern w:val="44"/>
            </w:rPr>
            <w:t>四部分</w:t>
          </w:r>
          <w:r>
            <w:rPr>
              <w:rStyle w:val="16"/>
              <w:rFonts w:ascii="黑体" w:hAnsi="黑体" w:eastAsia="黑体"/>
              <w:bCs/>
              <w:kern w:val="44"/>
            </w:rPr>
            <w:t xml:space="preserve"> </w:t>
          </w:r>
          <w:r>
            <w:rPr>
              <w:rStyle w:val="16"/>
              <w:rFonts w:hint="eastAsia" w:ascii="黑体" w:hAnsi="黑体" w:eastAsia="黑体"/>
              <w:bCs/>
              <w:kern w:val="44"/>
            </w:rPr>
            <w:t>附件</w:t>
          </w:r>
          <w:r>
            <w:tab/>
          </w:r>
          <w:r>
            <w:fldChar w:fldCharType="begin"/>
          </w:r>
          <w:r>
            <w:instrText xml:space="preserve"> PAGEREF _Toc147932994 \h </w:instrText>
          </w:r>
          <w:r>
            <w:fldChar w:fldCharType="separate"/>
          </w:r>
          <w:r>
            <w:t>13</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"_Toc147932996" </w:instrText>
          </w:r>
          <w:r>
            <w:fldChar w:fldCharType="separate"/>
          </w:r>
          <w:r>
            <w:rPr>
              <w:rStyle w:val="16"/>
              <w:rFonts w:hint="eastAsia" w:ascii="黑体" w:hAnsi="黑体" w:eastAsia="黑体"/>
            </w:rPr>
            <w:t>第</w:t>
          </w:r>
          <w:r>
            <w:rPr>
              <w:rStyle w:val="16"/>
              <w:rFonts w:hint="eastAsia" w:ascii="黑体" w:hAnsi="黑体" w:eastAsia="黑体"/>
              <w:bCs/>
              <w:kern w:val="44"/>
            </w:rPr>
            <w:t>五部分</w:t>
          </w:r>
          <w:r>
            <w:rPr>
              <w:rStyle w:val="16"/>
              <w:rFonts w:ascii="黑体" w:hAnsi="黑体" w:eastAsia="黑体"/>
              <w:bCs/>
              <w:kern w:val="44"/>
            </w:rPr>
            <w:t xml:space="preserve"> </w:t>
          </w:r>
          <w:r>
            <w:rPr>
              <w:rStyle w:val="16"/>
              <w:rFonts w:hint="eastAsia" w:ascii="黑体" w:hAnsi="黑体" w:eastAsia="黑体"/>
              <w:bCs/>
              <w:kern w:val="44"/>
            </w:rPr>
            <w:t>附表</w:t>
          </w:r>
          <w:r>
            <w:tab/>
          </w:r>
          <w:r>
            <w:fldChar w:fldCharType="begin"/>
          </w:r>
          <w:r>
            <w:instrText xml:space="preserve"> PAGEREF _Toc147932996 \h </w:instrText>
          </w:r>
          <w:r>
            <w:fldChar w:fldCharType="separate"/>
          </w:r>
          <w:r>
            <w:t>16</w:t>
          </w:r>
          <w:r>
            <w:fldChar w:fldCharType="end"/>
          </w:r>
          <w:r>
            <w:fldChar w:fldCharType="end"/>
          </w:r>
        </w:p>
        <w:p>
          <w:r>
            <w:rPr>
              <w:b/>
              <w:bCs/>
              <w:lang w:val="zh-CN"/>
            </w:rPr>
            <w:fldChar w:fldCharType="end"/>
          </w:r>
        </w:p>
      </w:sdtContent>
    </w:sdt>
    <w:p>
      <w:pPr>
        <w:pStyle w:val="3"/>
        <w:jc w:val="center"/>
        <w:rPr>
          <w:rFonts w:ascii="黑体" w:hAnsi="黑体" w:eastAsia="黑体"/>
          <w:bCs w:val="0"/>
        </w:rPr>
      </w:pPr>
      <w:bookmarkStart w:id="14" w:name="_Toc15396599"/>
      <w:bookmarkStart w:id="15" w:name="_Toc15377196"/>
      <w:bookmarkStart w:id="16" w:name="_Toc147932965"/>
      <w:r>
        <w:rPr>
          <w:rFonts w:hint="eastAsia" w:ascii="黑体" w:hAnsi="黑体" w:eastAsia="黑体"/>
          <w:b w:val="0"/>
        </w:rPr>
        <w:t>第一部分 单位</w:t>
      </w:r>
      <w:r>
        <w:rPr>
          <w:rStyle w:val="25"/>
          <w:rFonts w:hint="eastAsia" w:ascii="黑体" w:hAnsi="黑体" w:eastAsia="黑体"/>
          <w:b w:val="0"/>
          <w:bCs w:val="0"/>
        </w:rPr>
        <w:t>概况</w:t>
      </w:r>
      <w:bookmarkEnd w:id="14"/>
      <w:bookmarkEnd w:id="15"/>
      <w:bookmarkEnd w:id="16"/>
    </w:p>
    <w:p>
      <w:pPr>
        <w:pStyle w:val="4"/>
        <w:numPr>
          <w:ilvl w:val="0"/>
          <w:numId w:val="1"/>
        </w:numPr>
        <w:rPr>
          <w:rStyle w:val="26"/>
          <w:rFonts w:ascii="黑体" w:hAnsi="黑体" w:eastAsia="黑体"/>
          <w:b w:val="0"/>
          <w:bCs w:val="0"/>
        </w:rPr>
      </w:pPr>
      <w:bookmarkStart w:id="17" w:name="_Toc147932966"/>
      <w:bookmarkStart w:id="18" w:name="_Toc15396600"/>
      <w:bookmarkStart w:id="19" w:name="_Toc15377197"/>
      <w:r>
        <w:rPr>
          <w:rStyle w:val="26"/>
          <w:rFonts w:hint="eastAsia" w:ascii="黑体" w:hAnsi="黑体" w:eastAsia="黑体"/>
          <w:b w:val="0"/>
          <w:bCs w:val="0"/>
        </w:rPr>
        <w:t>主要职责</w:t>
      </w:r>
      <w:bookmarkEnd w:id="17"/>
    </w:p>
    <w:p>
      <w:pPr>
        <w:ind w:firstLine="640" w:firstLineChars="200"/>
        <w:rPr>
          <w:rFonts w:ascii="仿宋" w:hAnsi="仿宋" w:eastAsia="仿宋"/>
          <w:sz w:val="32"/>
          <w:szCs w:val="32"/>
        </w:rPr>
      </w:pPr>
      <w:r>
        <w:rPr>
          <w:rFonts w:hint="eastAsia" w:ascii="仿宋" w:hAnsi="仿宋" w:eastAsia="仿宋"/>
          <w:sz w:val="32"/>
          <w:szCs w:val="32"/>
        </w:rPr>
        <w:t>剑阁县武连镇中心卫生院成立于1972年，位于剑阁县武连镇卫生巷10号。目前属国家二级乙等综合医院，为城乡居民医疗保险、城镇职工医疗保险、商业保险定点医院。</w:t>
      </w:r>
    </w:p>
    <w:p>
      <w:pPr>
        <w:ind w:firstLine="640" w:firstLineChars="200"/>
        <w:rPr>
          <w:rFonts w:ascii="仿宋" w:hAnsi="仿宋" w:eastAsia="仿宋"/>
          <w:sz w:val="32"/>
          <w:szCs w:val="32"/>
        </w:rPr>
      </w:pPr>
      <w:r>
        <w:rPr>
          <w:rFonts w:hint="eastAsia" w:ascii="仿宋" w:hAnsi="仿宋" w:eastAsia="仿宋"/>
          <w:sz w:val="32"/>
          <w:szCs w:val="32"/>
        </w:rPr>
        <w:t>医院现有职工66名，副高职称2名，中级职称7名，编制床位100张，开放床位60张。医院拥有国内先进的高档全数字化彩超诊断仪、电磁式体外冲击波碎石机、数字式十二通道心电图机、迈瑞B超、便携式B超（床旁）、颅内段血管彩色多普勒、骨密度检查、多功能心电监护仪、DR（数字X线摄影系统）、500MA X线机、全自动生化仪、全自动血细胞分析仪、全自动化学发光免疫分析仪、呼吸机、除颤仪、麻醉机、多功能电动牵引床、骨质增生治疗仪、电脑智能中药熏蒸机等医疗设备。</w:t>
      </w:r>
    </w:p>
    <w:p>
      <w:pPr>
        <w:pStyle w:val="4"/>
        <w:rPr>
          <w:rFonts w:ascii="黑体" w:hAnsi="黑体" w:eastAsia="黑体"/>
          <w:b w:val="0"/>
        </w:rPr>
      </w:pPr>
      <w:bookmarkStart w:id="20" w:name="_Toc147932967"/>
      <w:r>
        <w:rPr>
          <w:rFonts w:hint="eastAsia" w:ascii="黑体" w:hAnsi="黑体" w:eastAsia="黑体"/>
          <w:b w:val="0"/>
        </w:rPr>
        <w:t>二、机构设置</w:t>
      </w:r>
      <w:bookmarkEnd w:id="20"/>
    </w:p>
    <w:p>
      <w:pPr>
        <w:ind w:firstLine="640" w:firstLineChars="200"/>
        <w:rPr>
          <w:rFonts w:ascii="仿宋" w:hAnsi="仿宋" w:eastAsia="仿宋"/>
          <w:sz w:val="32"/>
          <w:szCs w:val="32"/>
        </w:rPr>
      </w:pPr>
      <w:r>
        <w:rPr>
          <w:rFonts w:hint="eastAsia" w:ascii="仿宋" w:hAnsi="仿宋" w:eastAsia="仿宋"/>
          <w:sz w:val="32"/>
          <w:szCs w:val="32"/>
        </w:rPr>
        <w:t>剑阁县武连镇中心卫生院无下属二级单位，无纳入2022年度部门预算编制范围的二级预算单位。</w:t>
      </w:r>
    </w:p>
    <w:p>
      <w:pPr>
        <w:ind w:firstLine="640" w:firstLineChars="200"/>
        <w:rPr>
          <w:rFonts w:ascii="仿宋" w:hAnsi="仿宋" w:eastAsia="仿宋"/>
          <w:sz w:val="32"/>
          <w:szCs w:val="32"/>
        </w:rPr>
      </w:pPr>
      <w:r>
        <w:rPr>
          <w:rFonts w:hint="eastAsia" w:ascii="仿宋" w:hAnsi="仿宋" w:eastAsia="仿宋"/>
          <w:sz w:val="32"/>
          <w:szCs w:val="32"/>
        </w:rPr>
        <w:t>医院开设有内科、外科、妇产科、儿科、中医科、口腔科、眼耳鼻喉科、中医理疗科、体外碎石科、放射、功能、检验、输血等20个临床科室。能开展胆囊切除、胃肠穿孔修补、阑尾切除、疝修补、子宫全切及次全切、卵巢囊肿切除、宫外孕手术治疗、顺产接生、四肢骨折复位及内固定手术治疗。对临床常见病、多发病能给予积极准确的诊治，并对临床危重、急诊病人进行有效的抢救和治疗。</w:t>
      </w:r>
    </w:p>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Fonts w:ascii="黑体" w:hAnsi="黑体" w:eastAsia="黑体"/>
          <w:b w:val="0"/>
        </w:rPr>
      </w:pPr>
      <w:bookmarkStart w:id="21" w:name="_Toc15396602"/>
      <w:bookmarkStart w:id="22" w:name="_Toc147932968"/>
      <w:bookmarkStart w:id="23"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21"/>
      <w:bookmarkEnd w:id="22"/>
      <w:bookmarkEnd w:id="23"/>
    </w:p>
    <w:p>
      <w:pPr>
        <w:pStyle w:val="24"/>
        <w:numPr>
          <w:ilvl w:val="0"/>
          <w:numId w:val="2"/>
        </w:numPr>
        <w:spacing w:line="600" w:lineRule="exact"/>
        <w:ind w:firstLineChars="0"/>
        <w:outlineLvl w:val="1"/>
        <w:rPr>
          <w:rStyle w:val="26"/>
          <w:rFonts w:ascii="黑体" w:hAnsi="黑体" w:eastAsia="黑体"/>
          <w:b w:val="0"/>
        </w:rPr>
      </w:pPr>
      <w:bookmarkStart w:id="24" w:name="_Toc15396603"/>
      <w:bookmarkStart w:id="25" w:name="_Toc15377205"/>
      <w:bookmarkStart w:id="26" w:name="_Toc147932969"/>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2022年度收入总计2044.71万元。</w:t>
      </w:r>
      <w:r>
        <w:rPr>
          <w:rFonts w:ascii="仿宋" w:hAnsi="仿宋" w:eastAsia="仿宋"/>
          <w:sz w:val="32"/>
          <w:szCs w:val="32"/>
        </w:rPr>
        <w:t>2021年本单位未单独填报决算，由系统统一填报部门决算，故无法对比。</w:t>
      </w:r>
    </w:p>
    <w:p>
      <w:pPr>
        <w:pStyle w:val="24"/>
        <w:numPr>
          <w:ilvl w:val="0"/>
          <w:numId w:val="2"/>
        </w:numPr>
        <w:spacing w:line="600" w:lineRule="exact"/>
        <w:ind w:firstLineChars="0"/>
        <w:outlineLvl w:val="1"/>
        <w:rPr>
          <w:rStyle w:val="26"/>
          <w:rFonts w:ascii="黑体" w:hAnsi="黑体" w:eastAsia="黑体"/>
          <w:b w:val="0"/>
        </w:rPr>
      </w:pPr>
      <w:bookmarkStart w:id="27" w:name="_Toc15377206"/>
      <w:bookmarkStart w:id="28" w:name="_Toc147932970"/>
      <w:bookmarkStart w:id="29" w:name="_Toc15396604"/>
      <w:r>
        <w:rPr>
          <w:rFonts w:hint="eastAsia" w:ascii="黑体" w:hAnsi="黑体" w:eastAsia="黑体"/>
          <w:sz w:val="32"/>
          <w:szCs w:val="32"/>
        </w:rPr>
        <w:t>收</w:t>
      </w:r>
      <w:r>
        <w:rPr>
          <w:rStyle w:val="26"/>
          <w:rFonts w:hint="eastAsia" w:ascii="黑体" w:hAnsi="黑体" w:eastAsia="黑体"/>
          <w:b w:val="0"/>
        </w:rPr>
        <w:t>入决算情况说明</w:t>
      </w:r>
      <w:bookmarkEnd w:id="27"/>
      <w:bookmarkEnd w:id="28"/>
      <w:bookmarkEnd w:id="29"/>
    </w:p>
    <w:p>
      <w:pPr>
        <w:spacing w:line="600" w:lineRule="exact"/>
        <w:ind w:firstLine="640" w:firstLineChars="200"/>
        <w:outlineLvl w:val="1"/>
        <w:rPr>
          <w:rFonts w:ascii="仿宋" w:hAnsi="仿宋" w:eastAsia="仿宋"/>
          <w:sz w:val="32"/>
          <w:szCs w:val="32"/>
        </w:rPr>
      </w:pPr>
      <w:bookmarkStart w:id="30" w:name="_Toc147932971"/>
      <w:r>
        <w:rPr>
          <w:rFonts w:ascii="仿宋" w:hAnsi="仿宋" w:eastAsia="仿宋"/>
          <w:sz w:val="32"/>
          <w:szCs w:val="32"/>
        </w:rPr>
        <w:t>20</w:t>
      </w:r>
      <w:r>
        <w:rPr>
          <w:rFonts w:hint="eastAsia" w:ascii="仿宋" w:hAnsi="仿宋" w:eastAsia="仿宋"/>
          <w:sz w:val="32"/>
          <w:szCs w:val="32"/>
        </w:rPr>
        <w:t>22年本年收入合计2044.71万元，其中：一般公共预算财政拨款收入585.89万元，占28.65</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；事业收入1349.95万元，占66.02</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；其他收入108.87万元，占5.33</w:t>
      </w:r>
      <w:r>
        <w:rPr>
          <w:rFonts w:ascii="仿宋" w:hAnsi="仿宋" w:eastAsia="仿宋"/>
          <w:sz w:val="32"/>
          <w:szCs w:val="32"/>
        </w:rPr>
        <w:t>%</w:t>
      </w:r>
      <w:r>
        <w:rPr>
          <w:rFonts w:hint="eastAsia" w:ascii="仿宋" w:hAnsi="仿宋" w:eastAsia="仿宋"/>
          <w:sz w:val="32"/>
          <w:szCs w:val="32"/>
        </w:rPr>
        <w:t>。</w:t>
      </w:r>
      <w:bookmarkEnd w:id="30"/>
    </w:p>
    <w:p>
      <w:pPr>
        <w:spacing w:line="600" w:lineRule="exact"/>
        <w:outlineLvl w:val="1"/>
        <w:rPr>
          <w:rFonts w:ascii="仿宋" w:hAnsi="仿宋" w:eastAsia="仿宋"/>
          <w:b/>
          <w:sz w:val="32"/>
          <w:szCs w:val="32"/>
        </w:rPr>
      </w:pPr>
      <w:bookmarkStart w:id="31" w:name="_Toc147932972"/>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655320</wp:posOffset>
            </wp:positionH>
            <wp:positionV relativeFrom="paragraph">
              <wp:posOffset>460375</wp:posOffset>
            </wp:positionV>
            <wp:extent cx="4168140" cy="2997835"/>
            <wp:effectExtent l="0" t="0" r="381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68140" cy="2997835"/>
                    </a:xfrm>
                    <a:prstGeom prst="rect">
                      <a:avLst/>
                    </a:prstGeom>
                  </pic:spPr>
                </pic:pic>
              </a:graphicData>
            </a:graphic>
          </wp:anchor>
        </w:drawing>
      </w:r>
      <w:bookmarkEnd w:id="31"/>
    </w:p>
    <w:p>
      <w:pPr>
        <w:pStyle w:val="24"/>
        <w:numPr>
          <w:ilvl w:val="0"/>
          <w:numId w:val="2"/>
        </w:numPr>
        <w:spacing w:line="600" w:lineRule="exact"/>
        <w:ind w:firstLineChars="0"/>
        <w:outlineLvl w:val="1"/>
        <w:rPr>
          <w:rStyle w:val="26"/>
          <w:rFonts w:ascii="黑体" w:hAnsi="黑体" w:eastAsia="黑体"/>
          <w:b w:val="0"/>
        </w:rPr>
      </w:pPr>
      <w:bookmarkStart w:id="32" w:name="_Toc147932973"/>
      <w:bookmarkStart w:id="33" w:name="_Toc15396605"/>
      <w:bookmarkStart w:id="34" w:name="_Toc15377207"/>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147932974"/>
      <w:r>
        <w:rPr>
          <w:rFonts w:ascii="仿宋" w:hAnsi="仿宋" w:eastAsia="仿宋"/>
          <w:sz w:val="32"/>
          <w:szCs w:val="32"/>
        </w:rPr>
        <w:t>20</w:t>
      </w:r>
      <w:r>
        <w:rPr>
          <w:rFonts w:hint="eastAsia" w:ascii="仿宋" w:hAnsi="仿宋" w:eastAsia="仿宋"/>
          <w:sz w:val="32"/>
          <w:szCs w:val="32"/>
        </w:rPr>
        <w:t>22年本年支出合计2044.71万元，其中：基本支出2024.73万元，占99.03</w:t>
      </w:r>
      <w:r>
        <w:rPr>
          <w:rFonts w:ascii="仿宋" w:hAnsi="仿宋" w:eastAsia="仿宋"/>
          <w:sz w:val="32"/>
          <w:szCs w:val="32"/>
        </w:rPr>
        <w:t>%</w:t>
      </w:r>
      <w:r>
        <w:rPr>
          <w:rFonts w:hint="eastAsia" w:ascii="仿宋" w:hAnsi="仿宋" w:eastAsia="仿宋"/>
          <w:sz w:val="32"/>
          <w:szCs w:val="32"/>
        </w:rPr>
        <w:t>；项目支出19.98万元，占0.97</w:t>
      </w:r>
      <w:r>
        <w:rPr>
          <w:rFonts w:ascii="仿宋" w:hAnsi="仿宋" w:eastAsia="仿宋"/>
          <w:sz w:val="32"/>
          <w:szCs w:val="32"/>
        </w:rPr>
        <w:t>%</w:t>
      </w:r>
      <w:r>
        <w:rPr>
          <w:rFonts w:hint="eastAsia" w:ascii="仿宋" w:hAnsi="仿宋" w:eastAsia="仿宋"/>
          <w:sz w:val="32"/>
          <w:szCs w:val="32"/>
        </w:rPr>
        <w:t>。</w:t>
      </w:r>
      <w:bookmarkEnd w:id="35"/>
    </w:p>
    <w:p>
      <w:pPr>
        <w:pStyle w:val="2"/>
        <w:spacing w:before="93"/>
        <w:jc w:val="center"/>
      </w:pPr>
      <w:r>
        <w:drawing>
          <wp:inline distT="0" distB="0" distL="0" distR="0">
            <wp:extent cx="4091940" cy="2926080"/>
            <wp:effectExtent l="0" t="0" r="22860" b="266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26"/>
          <w:rFonts w:ascii="黑体" w:hAnsi="黑体" w:eastAsia="黑体"/>
          <w:b w:val="0"/>
        </w:rPr>
      </w:pPr>
      <w:bookmarkStart w:id="36" w:name="_Toc147932976"/>
      <w:bookmarkStart w:id="37" w:name="_Toc15396606"/>
      <w:bookmarkStart w:id="38"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22年财政拨款收、支总计585.89万元。</w:t>
      </w:r>
      <w:r>
        <w:rPr>
          <w:rFonts w:ascii="仿宋" w:hAnsi="仿宋" w:eastAsia="仿宋"/>
          <w:sz w:val="32"/>
          <w:szCs w:val="32"/>
        </w:rPr>
        <w:t>2021年本单位未单独填报决算，由系统统一填报部门决算，故无法对比。</w:t>
      </w:r>
    </w:p>
    <w:p>
      <w:pPr>
        <w:spacing w:line="600" w:lineRule="exact"/>
        <w:ind w:firstLine="640" w:firstLineChars="200"/>
        <w:outlineLvl w:val="1"/>
        <w:rPr>
          <w:rStyle w:val="26"/>
          <w:rFonts w:ascii="黑体" w:hAnsi="黑体" w:eastAsia="黑体"/>
          <w:b w:val="0"/>
        </w:rPr>
      </w:pPr>
      <w:bookmarkStart w:id="39" w:name="_Toc147932977"/>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47932978"/>
      <w:bookmarkStart w:id="43" w:name="_Toc15377210"/>
      <w:r>
        <w:rPr>
          <w:rFonts w:hint="eastAsia" w:ascii="仿宋" w:hAnsi="仿宋" w:eastAsia="仿宋"/>
          <w:b/>
          <w:sz w:val="32"/>
          <w:szCs w:val="32"/>
        </w:rPr>
        <w:t>（一）一般公共预算财政拨款支出决算总体情况</w:t>
      </w:r>
      <w:bookmarkEnd w:id="42"/>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22年一般公共预算财政拨款支出585.89万元，占本年支出合计的28.39</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44" w:name="_Toc15377211"/>
      <w:bookmarkStart w:id="45" w:name="_Toc147932979"/>
      <w:r>
        <w:rPr>
          <w:rFonts w:hint="eastAsia" w:ascii="仿宋" w:hAnsi="仿宋" w:eastAsia="仿宋"/>
          <w:b/>
          <w:sz w:val="32"/>
          <w:szCs w:val="32"/>
        </w:rPr>
        <w:t>（二）一般公共预算财政拨款支出决算结构情况</w:t>
      </w:r>
      <w:bookmarkEnd w:id="44"/>
      <w:bookmarkEnd w:id="4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22年一般公共预算财政拨款支出585.89万元，主要用于以下方面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51.63万元，占8.81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493.53万元，占84.24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38.72万元，占6.95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2万元。</w:t>
      </w:r>
    </w:p>
    <w:p>
      <w:pPr>
        <w:pStyle w:val="2"/>
        <w:spacing w:before="93"/>
        <w:jc w:val="center"/>
      </w:pPr>
      <w:r>
        <w:drawing>
          <wp:inline distT="0" distB="0" distL="0" distR="0">
            <wp:extent cx="4091940" cy="2926080"/>
            <wp:effectExtent l="0" t="0" r="22860" b="266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46" w:name="_Toc147932980"/>
      <w:bookmarkStart w:id="47" w:name="_Toc15377212"/>
      <w:r>
        <w:rPr>
          <w:rFonts w:hint="eastAsia" w:ascii="仿宋" w:hAnsi="仿宋" w:eastAsia="仿宋"/>
          <w:b/>
          <w:sz w:val="32"/>
          <w:szCs w:val="32"/>
        </w:rPr>
        <w:t>（三）一般公共预算财政拨款支出决算具体情况</w:t>
      </w:r>
      <w:bookmarkEnd w:id="46"/>
      <w:bookmarkEnd w:id="47"/>
    </w:p>
    <w:p>
      <w:pPr>
        <w:spacing w:line="600" w:lineRule="exact"/>
        <w:ind w:firstLine="643" w:firstLineChars="200"/>
        <w:outlineLvl w:val="2"/>
        <w:rPr>
          <w:rFonts w:ascii="仿宋" w:hAnsi="仿宋" w:eastAsia="仿宋"/>
          <w:sz w:val="32"/>
          <w:szCs w:val="32"/>
        </w:rPr>
      </w:pPr>
      <w:bookmarkStart w:id="48" w:name="_Toc147932981"/>
      <w:bookmarkStart w:id="49" w:name="_Toc15377444"/>
      <w:bookmarkStart w:id="50" w:name="_Toc15377213"/>
      <w:bookmarkStart w:id="51" w:name="_Toc15378460"/>
      <w:r>
        <w:rPr>
          <w:rFonts w:hint="eastAsia" w:ascii="仿宋" w:hAnsi="仿宋" w:eastAsia="仿宋"/>
          <w:b/>
          <w:sz w:val="32"/>
          <w:szCs w:val="32"/>
        </w:rPr>
        <w:t>2022年一般公共预算支出决算数为585.89</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8"/>
      <w:bookmarkEnd w:id="49"/>
      <w:bookmarkEnd w:id="50"/>
      <w:bookmarkEnd w:id="51"/>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1.社会保障和就业（类）行政</w:t>
      </w:r>
      <w:r>
        <w:rPr>
          <w:rStyle w:val="14"/>
          <w:rFonts w:ascii="仿宋" w:hAnsi="仿宋" w:eastAsia="仿宋"/>
          <w:bCs/>
          <w:sz w:val="32"/>
          <w:szCs w:val="32"/>
        </w:rPr>
        <w:t>事业单位养老支出</w:t>
      </w:r>
      <w:r>
        <w:rPr>
          <w:rStyle w:val="14"/>
          <w:rFonts w:hint="eastAsia" w:ascii="仿宋" w:hAnsi="仿宋" w:eastAsia="仿宋"/>
          <w:bCs/>
          <w:sz w:val="32"/>
          <w:szCs w:val="32"/>
        </w:rPr>
        <w:t>（款）机关</w:t>
      </w:r>
      <w:r>
        <w:rPr>
          <w:rStyle w:val="14"/>
          <w:rFonts w:ascii="仿宋" w:hAnsi="仿宋" w:eastAsia="仿宋"/>
          <w:bCs/>
          <w:sz w:val="32"/>
          <w:szCs w:val="32"/>
        </w:rPr>
        <w:t>事业单位基本养老保险缴费支出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支出决算为51.63万元，完成预算100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（类）基层医疗卫生机构（款）乡镇卫生院（项）</w:t>
      </w:r>
      <w:r>
        <w:rPr>
          <w:rStyle w:val="14"/>
          <w:rFonts w:ascii="仿宋" w:hAnsi="仿宋" w:eastAsia="仿宋"/>
          <w:bCs/>
          <w:sz w:val="32"/>
          <w:szCs w:val="32"/>
        </w:rPr>
        <w:t>:</w:t>
      </w:r>
      <w:r>
        <w:rPr>
          <w:rStyle w:val="14"/>
          <w:rFonts w:hint="eastAsia" w:ascii="仿宋" w:hAnsi="仿宋" w:eastAsia="仿宋"/>
          <w:b w:val="0"/>
          <w:bCs/>
          <w:sz w:val="32"/>
          <w:szCs w:val="32"/>
        </w:rPr>
        <w:t>支出决算为364.93万元，完成预算100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hint="eastAsia" w:ascii="仿宋" w:hAnsi="仿宋" w:eastAsia="仿宋"/>
          <w:b w:val="0"/>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（类）基层医疗卫生机构（款）其他基层医疗卫生支出（项）：</w:t>
      </w:r>
      <w:r>
        <w:rPr>
          <w:rStyle w:val="14"/>
          <w:rFonts w:hint="eastAsia" w:ascii="仿宋" w:hAnsi="仿宋" w:eastAsia="仿宋"/>
          <w:b w:val="0"/>
          <w:bCs/>
          <w:sz w:val="32"/>
          <w:szCs w:val="32"/>
        </w:rPr>
        <w:t>支出决算为16.34万元，完成预算100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4.</w:t>
      </w:r>
      <w:r>
        <w:rPr>
          <w:rFonts w:hint="eastAsia" w:ascii="仿宋" w:hAnsi="仿宋" w:eastAsia="仿宋"/>
          <w:b/>
          <w:bCs/>
          <w:sz w:val="32"/>
          <w:szCs w:val="32"/>
        </w:rPr>
        <w:t>卫生健康</w:t>
      </w:r>
      <w:r>
        <w:rPr>
          <w:rStyle w:val="14"/>
          <w:rFonts w:hint="eastAsia" w:ascii="仿宋" w:hAnsi="仿宋" w:eastAsia="仿宋"/>
          <w:bCs/>
          <w:sz w:val="32"/>
          <w:szCs w:val="32"/>
        </w:rPr>
        <w:t>（类）公共卫生（款）基本公共卫生服务（项）：</w:t>
      </w:r>
      <w:r>
        <w:rPr>
          <w:rStyle w:val="14"/>
          <w:rFonts w:hint="eastAsia" w:ascii="仿宋" w:hAnsi="仿宋" w:eastAsia="仿宋"/>
          <w:b w:val="0"/>
          <w:bCs/>
          <w:sz w:val="32"/>
          <w:szCs w:val="32"/>
        </w:rPr>
        <w:t>支出决算为68.46万元，完成预算100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5.</w:t>
      </w:r>
      <w:r>
        <w:rPr>
          <w:rFonts w:hint="eastAsia" w:ascii="仿宋" w:hAnsi="仿宋" w:eastAsia="仿宋"/>
          <w:b/>
          <w:bCs/>
          <w:sz w:val="32"/>
          <w:szCs w:val="32"/>
        </w:rPr>
        <w:t>卫生健康</w:t>
      </w:r>
      <w:r>
        <w:rPr>
          <w:rStyle w:val="14"/>
          <w:rFonts w:hint="eastAsia" w:ascii="仿宋" w:hAnsi="仿宋" w:eastAsia="仿宋"/>
          <w:bCs/>
          <w:sz w:val="32"/>
          <w:szCs w:val="32"/>
        </w:rPr>
        <w:t>（类）公共卫生（款）重大公共卫生服务（项）：</w:t>
      </w:r>
      <w:r>
        <w:rPr>
          <w:rStyle w:val="14"/>
          <w:rFonts w:hint="eastAsia" w:ascii="仿宋" w:hAnsi="仿宋" w:eastAsia="仿宋"/>
          <w:b w:val="0"/>
          <w:bCs/>
          <w:sz w:val="32"/>
          <w:szCs w:val="32"/>
        </w:rPr>
        <w:t>支出决算为17.98万元，完成预算100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 w:hAnsi="仿宋" w:eastAsia="仿宋"/>
          <w:bCs/>
          <w:sz w:val="32"/>
          <w:szCs w:val="32"/>
        </w:rPr>
      </w:pPr>
      <w:r>
        <w:rPr>
          <w:rStyle w:val="14"/>
          <w:rFonts w:hint="eastAsia" w:ascii="仿宋" w:hAnsi="仿宋" w:eastAsia="仿宋"/>
          <w:b w:val="0"/>
          <w:bCs/>
          <w:sz w:val="32"/>
          <w:szCs w:val="32"/>
        </w:rPr>
        <w:t>6.</w:t>
      </w:r>
      <w:r>
        <w:rPr>
          <w:rFonts w:hint="eastAsia" w:ascii="仿宋" w:hAnsi="仿宋" w:eastAsia="仿宋"/>
          <w:b/>
          <w:bCs/>
          <w:sz w:val="32"/>
          <w:szCs w:val="32"/>
        </w:rPr>
        <w:t>卫生健康</w:t>
      </w:r>
      <w:r>
        <w:rPr>
          <w:rStyle w:val="14"/>
          <w:rFonts w:hint="eastAsia" w:ascii="仿宋" w:hAnsi="仿宋" w:eastAsia="仿宋"/>
          <w:bCs/>
          <w:sz w:val="32"/>
          <w:szCs w:val="32"/>
        </w:rPr>
        <w:t>（类）行政事业医疗（款）事业单位医疗（项）：</w:t>
      </w:r>
      <w:r>
        <w:rPr>
          <w:rStyle w:val="14"/>
          <w:rFonts w:hint="eastAsia" w:ascii="仿宋" w:hAnsi="仿宋" w:eastAsia="仿宋"/>
          <w:b w:val="0"/>
          <w:bCs/>
          <w:sz w:val="32"/>
          <w:szCs w:val="32"/>
        </w:rPr>
        <w:t>支出决算为25.82万元，完成预算100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rPr>
          <w:rStyle w:val="14"/>
          <w:rFonts w:ascii="仿宋" w:hAnsi="仿宋" w:eastAsia="仿宋"/>
          <w:b w:val="0"/>
          <w:bCs/>
          <w:sz w:val="32"/>
          <w:szCs w:val="32"/>
        </w:rPr>
      </w:pPr>
      <w:r>
        <w:rPr>
          <w:rStyle w:val="14"/>
          <w:rFonts w:hint="eastAsia" w:ascii="仿宋" w:hAnsi="仿宋" w:eastAsia="仿宋"/>
          <w:bCs/>
          <w:kern w:val="2"/>
          <w:sz w:val="32"/>
          <w:szCs w:val="32"/>
        </w:rPr>
        <w:t>7.住房保障支出（类）住房改革支出（款）住房公积金（项）</w:t>
      </w:r>
      <w:r>
        <w:rPr>
          <w:rStyle w:val="14"/>
          <w:rFonts w:ascii="仿宋" w:hAnsi="仿宋" w:eastAsia="仿宋"/>
          <w:bCs/>
          <w:kern w:val="2"/>
          <w:sz w:val="32"/>
          <w:szCs w:val="32"/>
        </w:rPr>
        <w:t>:</w:t>
      </w:r>
      <w:r>
        <w:rPr>
          <w:rStyle w:val="14"/>
          <w:rFonts w:hint="eastAsia" w:ascii="仿宋" w:hAnsi="仿宋" w:eastAsia="仿宋"/>
          <w:b w:val="0"/>
          <w:bCs/>
          <w:sz w:val="32"/>
          <w:szCs w:val="32"/>
        </w:rPr>
        <w:t xml:space="preserve"> 支出决算为38.72万元，完成预算100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rPr>
          <w:rFonts w:ascii="仿宋" w:hAnsi="仿宋" w:eastAsia="仿宋"/>
          <w:bCs/>
          <w:sz w:val="32"/>
          <w:szCs w:val="32"/>
        </w:rPr>
      </w:pPr>
      <w:r>
        <w:rPr>
          <w:rStyle w:val="14"/>
          <w:rFonts w:hint="eastAsia" w:ascii="仿宋" w:hAnsi="仿宋" w:eastAsia="仿宋"/>
          <w:bCs/>
          <w:kern w:val="2"/>
          <w:sz w:val="32"/>
          <w:szCs w:val="32"/>
        </w:rPr>
        <w:t>8.农林水支出（类）巩固脱贫衔接乡村振兴（款）社会发展（项）</w:t>
      </w:r>
      <w:r>
        <w:rPr>
          <w:rStyle w:val="14"/>
          <w:rFonts w:ascii="仿宋" w:hAnsi="仿宋" w:eastAsia="仿宋"/>
          <w:bCs/>
          <w:kern w:val="2"/>
          <w:sz w:val="32"/>
          <w:szCs w:val="32"/>
        </w:rPr>
        <w:t>:</w:t>
      </w:r>
      <w:r>
        <w:rPr>
          <w:rStyle w:val="14"/>
          <w:rFonts w:hint="eastAsia" w:ascii="仿宋" w:hAnsi="仿宋" w:eastAsia="仿宋"/>
          <w:b w:val="0"/>
          <w:bCs/>
          <w:sz w:val="32"/>
          <w:szCs w:val="32"/>
        </w:rPr>
        <w:t xml:space="preserve"> 支出决算为2万元，完成预算100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6"/>
        </w:rPr>
      </w:pPr>
      <w:bookmarkStart w:id="52" w:name="_Toc15396608"/>
      <w:bookmarkStart w:id="53" w:name="_Toc15377214"/>
      <w:bookmarkStart w:id="54" w:name="_Toc14793298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52"/>
      <w:bookmarkEnd w:id="53"/>
      <w:bookmarkEnd w:id="54"/>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22年一般公共预算财政拨款基本支出565.91万元，其中：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人员经费298.64万元，主要包括：基本工资、津贴补贴、绩效工资、机关事业单位基本养老保险缴费、职工基本医疗保险缴费、其他社会保障缴费、其他工资福利支出、住房公积金等。</w:t>
      </w:r>
    </w:p>
    <w:p>
      <w:pPr>
        <w:spacing w:line="600" w:lineRule="exact"/>
        <w:rPr>
          <w:rFonts w:ascii="仿宋" w:hAnsi="仿宋" w:eastAsia="仿宋"/>
          <w:sz w:val="32"/>
          <w:szCs w:val="32"/>
        </w:rPr>
      </w:pPr>
      <w:r>
        <w:rPr>
          <w:rFonts w:hint="eastAsia" w:ascii="仿宋" w:hAnsi="仿宋" w:eastAsia="仿宋"/>
          <w:sz w:val="32"/>
          <w:szCs w:val="32"/>
        </w:rPr>
        <w:t>　　公用经费267.27万元，主要包括：办公费、印刷费、差旅费、维修（护）费、租赁费、会议费、培训费、公务接待费、专用材料费、其他交通费等。</w:t>
      </w:r>
    </w:p>
    <w:p>
      <w:pPr>
        <w:spacing w:line="600" w:lineRule="exact"/>
        <w:ind w:firstLine="640"/>
        <w:outlineLvl w:val="1"/>
        <w:rPr>
          <w:rStyle w:val="26"/>
          <w:rFonts w:ascii="黑体" w:hAnsi="黑体" w:eastAsia="黑体"/>
          <w:b w:val="0"/>
        </w:rPr>
      </w:pPr>
      <w:bookmarkStart w:id="55" w:name="_Toc15396609"/>
      <w:bookmarkStart w:id="56" w:name="_Toc147932983"/>
      <w:bookmarkStart w:id="57"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55"/>
      <w:bookmarkEnd w:id="56"/>
      <w:bookmarkEnd w:id="57"/>
    </w:p>
    <w:p>
      <w:pPr>
        <w:spacing w:line="600" w:lineRule="exact"/>
        <w:ind w:firstLine="640"/>
        <w:outlineLvl w:val="2"/>
        <w:rPr>
          <w:rFonts w:ascii="仿宋" w:hAnsi="仿宋" w:eastAsia="仿宋"/>
          <w:b/>
          <w:sz w:val="32"/>
          <w:szCs w:val="32"/>
        </w:rPr>
      </w:pPr>
      <w:bookmarkStart w:id="58" w:name="_Toc147932984"/>
      <w:bookmarkStart w:id="59" w:name="_Toc15377216"/>
      <w:r>
        <w:rPr>
          <w:rFonts w:hint="eastAsia" w:ascii="仿宋" w:hAnsi="仿宋" w:eastAsia="仿宋"/>
          <w:b/>
          <w:sz w:val="32"/>
          <w:szCs w:val="32"/>
        </w:rPr>
        <w:t>（一）“三公”经费财政拨款支出决算总体情况说明</w:t>
      </w:r>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22年“三公”经费财政拨款支出决算为0.37万元，完成预算100</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60" w:name="_Toc15377217"/>
      <w:bookmarkStart w:id="61" w:name="_Toc147932985"/>
      <w:r>
        <w:rPr>
          <w:rFonts w:hint="eastAsia" w:ascii="仿宋" w:hAnsi="仿宋" w:eastAsia="仿宋"/>
          <w:b/>
          <w:sz w:val="32"/>
          <w:szCs w:val="32"/>
        </w:rPr>
        <w:t>（二）“三公”经费财政拨款支出决算具体情况说明</w:t>
      </w:r>
      <w:bookmarkEnd w:id="60"/>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；公务接待费支出决算0.37万元，占100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jc w:val="center"/>
      </w:pPr>
      <w:r>
        <w:drawing>
          <wp:inline distT="0" distB="0" distL="0" distR="0">
            <wp:extent cx="3155950" cy="2051050"/>
            <wp:effectExtent l="0" t="0" r="25400" b="254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0.37万元，</w:t>
      </w:r>
      <w:r>
        <w:rPr>
          <w:rStyle w:val="14"/>
          <w:rFonts w:hint="eastAsia" w:ascii="仿宋" w:hAnsi="仿宋" w:eastAsia="仿宋"/>
          <w:b w:val="0"/>
          <w:bCs/>
          <w:sz w:val="32"/>
          <w:szCs w:val="32"/>
        </w:rPr>
        <w:t>完成预算38.85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ascii="仿宋" w:hAnsi="仿宋" w:eastAsia="仿宋"/>
          <w:sz w:val="32"/>
          <w:szCs w:val="32"/>
        </w:rPr>
        <w:t>2021年本单位未单独填报决算，由系统统一填报部门决算，故无法对比。</w:t>
      </w:r>
    </w:p>
    <w:p>
      <w:pPr>
        <w:spacing w:line="600" w:lineRule="exact"/>
        <w:ind w:firstLine="640"/>
        <w:rPr>
          <w:rFonts w:ascii="仿宋_GB2312" w:eastAsia="仿宋_GB2312"/>
          <w:sz w:val="32"/>
          <w:szCs w:val="32"/>
        </w:rPr>
      </w:pPr>
      <w:r>
        <w:rPr>
          <w:rFonts w:hint="eastAsia" w:ascii="仿宋" w:hAnsi="仿宋" w:eastAsia="仿宋"/>
          <w:sz w:val="32"/>
          <w:szCs w:val="32"/>
        </w:rPr>
        <w:t>4.</w:t>
      </w:r>
      <w:r>
        <w:rPr>
          <w:rFonts w:hint="eastAsia" w:ascii="仿宋" w:hAnsi="仿宋" w:eastAsia="仿宋"/>
          <w:b/>
          <w:sz w:val="32"/>
          <w:szCs w:val="32"/>
        </w:rPr>
        <w:t>国内公务接待支出</w:t>
      </w:r>
      <w:r>
        <w:rPr>
          <w:rFonts w:hint="eastAsia" w:ascii="仿宋" w:hAnsi="仿宋" w:eastAsia="仿宋"/>
          <w:sz w:val="32"/>
          <w:szCs w:val="32"/>
        </w:rPr>
        <w:t>0.37</w:t>
      </w:r>
      <w:r>
        <w:rPr>
          <w:rFonts w:hint="eastAsia" w:ascii="仿宋_GB2312" w:eastAsia="仿宋_GB2312"/>
          <w:sz w:val="32"/>
          <w:szCs w:val="32"/>
        </w:rPr>
        <w:t>万元，主要用于执行公务、开展业务活动开支的交通费、住宿费、用餐费等。国内公务接待21批次，125人次（不包括陪同人员），共计支出0.37万元。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5.外事接待支出</w:t>
      </w:r>
      <w:r>
        <w:rPr>
          <w:rFonts w:hint="eastAsia" w:ascii="仿宋" w:hAnsi="仿宋" w:eastAsia="仿宋"/>
          <w:sz w:val="32"/>
          <w:szCs w:val="32"/>
        </w:rPr>
        <w:t>0</w:t>
      </w:r>
      <w:r>
        <w:rPr>
          <w:rFonts w:hint="eastAsia" w:ascii="仿宋_GB2312" w:eastAsia="仿宋_GB2312"/>
          <w:sz w:val="32"/>
          <w:szCs w:val="32"/>
        </w:rPr>
        <w:t>万元。</w:t>
      </w:r>
      <w:bookmarkStart w:id="62" w:name="_Toc15396610"/>
      <w:bookmarkStart w:id="63" w:name="_Toc15377218"/>
    </w:p>
    <w:p>
      <w:pPr>
        <w:spacing w:line="600" w:lineRule="exact"/>
        <w:ind w:firstLine="640"/>
        <w:outlineLvl w:val="1"/>
        <w:rPr>
          <w:rStyle w:val="26"/>
          <w:rFonts w:ascii="黑体" w:hAnsi="黑体" w:eastAsia="黑体"/>
        </w:rPr>
      </w:pPr>
      <w:bookmarkStart w:id="64" w:name="_Toc147932986"/>
      <w:r>
        <w:rPr>
          <w:rFonts w:hint="eastAsia" w:ascii="黑体" w:eastAsia="黑体"/>
          <w:sz w:val="32"/>
          <w:szCs w:val="32"/>
        </w:rPr>
        <w:t>八、</w:t>
      </w:r>
      <w:r>
        <w:rPr>
          <w:rStyle w:val="26"/>
          <w:rFonts w:hint="eastAsia" w:ascii="黑体" w:hAnsi="黑体" w:eastAsia="黑体"/>
          <w:b w:val="0"/>
        </w:rPr>
        <w:t>政府性基金预算支出决算情况说明</w:t>
      </w:r>
      <w:bookmarkEnd w:id="62"/>
      <w:bookmarkEnd w:id="63"/>
      <w:bookmarkEnd w:id="6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65" w:name="_Toc147932987"/>
      <w:bookmarkStart w:id="66" w:name="_Toc15396611"/>
      <w:bookmarkStart w:id="67" w:name="_Toc15377219"/>
      <w:r>
        <w:rPr>
          <w:rStyle w:val="26"/>
          <w:rFonts w:hint="eastAsia" w:ascii="黑体" w:hAnsi="黑体" w:eastAsia="黑体"/>
          <w:b w:val="0"/>
        </w:rPr>
        <w:t>国有资本经营预算支出决算情况说明</w:t>
      </w:r>
      <w:bookmarkEnd w:id="65"/>
      <w:bookmarkEnd w:id="66"/>
      <w:bookmarkEnd w:id="6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68" w:name="_Toc15396612"/>
      <w:bookmarkStart w:id="69" w:name="_Toc15377221"/>
      <w:bookmarkStart w:id="70" w:name="_Toc147932988"/>
      <w:r>
        <w:rPr>
          <w:rStyle w:val="26"/>
          <w:rFonts w:hint="eastAsia" w:ascii="黑体" w:hAnsi="黑体" w:eastAsia="黑体"/>
          <w:b w:val="0"/>
        </w:rPr>
        <w:t>其他重要事项的情况说明</w:t>
      </w:r>
      <w:bookmarkEnd w:id="68"/>
      <w:bookmarkEnd w:id="69"/>
      <w:bookmarkEnd w:id="70"/>
    </w:p>
    <w:p>
      <w:pPr>
        <w:spacing w:line="600" w:lineRule="exact"/>
        <w:ind w:firstLine="643" w:firstLineChars="200"/>
        <w:outlineLvl w:val="2"/>
        <w:rPr>
          <w:rFonts w:ascii="仿宋" w:hAnsi="仿宋" w:eastAsia="仿宋"/>
          <w:sz w:val="32"/>
          <w:szCs w:val="32"/>
        </w:rPr>
      </w:pPr>
      <w:bookmarkStart w:id="71" w:name="_Toc147932989"/>
      <w:bookmarkStart w:id="72" w:name="_Toc15377222"/>
      <w:r>
        <w:rPr>
          <w:rFonts w:hint="eastAsia" w:ascii="仿宋" w:hAnsi="仿宋" w:eastAsia="仿宋"/>
          <w:b/>
          <w:sz w:val="32"/>
          <w:szCs w:val="32"/>
        </w:rPr>
        <w:t>（一）机关运行经费支出情况</w:t>
      </w:r>
      <w:bookmarkEnd w:id="71"/>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22年，本单位机关运行经费支出0万元。本单位属于事业单位，无机关运行经费。</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47932990"/>
      <w:bookmarkStart w:id="74" w:name="_Toc15377223"/>
      <w:r>
        <w:rPr>
          <w:rFonts w:hint="eastAsia" w:ascii="仿宋" w:hAnsi="仿宋" w:eastAsia="仿宋"/>
          <w:b/>
          <w:sz w:val="32"/>
          <w:szCs w:val="32"/>
        </w:rPr>
        <w:t>（二）政府采购支出情况</w:t>
      </w:r>
      <w:bookmarkEnd w:id="73"/>
      <w:bookmarkEnd w:id="7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47932991"/>
      <w:bookmarkStart w:id="76" w:name="_Toc15377224"/>
      <w:r>
        <w:rPr>
          <w:rFonts w:hint="eastAsia" w:ascii="仿宋" w:hAnsi="仿宋" w:eastAsia="仿宋"/>
          <w:b/>
          <w:sz w:val="32"/>
          <w:szCs w:val="32"/>
        </w:rPr>
        <w:t>（三）国有资产占有使用情况</w:t>
      </w:r>
      <w:bookmarkEnd w:id="75"/>
      <w:bookmarkEnd w:id="7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日，本单位共有车辆1辆，其中：主要领导干部用车0辆、机要通信用车0辆、应急保障用车0辆、其他用车1辆，其他用车主要是用于医疗应急抢救。单价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47932992"/>
      <w:r>
        <w:rPr>
          <w:rFonts w:hint="eastAsia" w:ascii="仿宋" w:hAnsi="仿宋" w:eastAsia="仿宋"/>
          <w:b/>
          <w:sz w:val="32"/>
          <w:szCs w:val="32"/>
        </w:rPr>
        <w:t>（四）预算绩效管理情况</w:t>
      </w:r>
      <w:bookmarkEnd w:id="77"/>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 “院对院”结对，常态化核酸检测项目等2个项目开展了预算事前绩效评估，对2个项目编制了绩效目标，预算执行过程中，选取2个项目开展绩效监控，组织对2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78" w:name="_Toc15396613"/>
      <w:bookmarkStart w:id="79" w:name="_Toc147932993"/>
      <w:bookmarkStart w:id="80" w:name="_Toc15377225"/>
      <w:r>
        <w:rPr>
          <w:rFonts w:hint="eastAsia" w:ascii="黑体" w:hAnsi="黑体" w:eastAsia="黑体"/>
          <w:sz w:val="44"/>
          <w:szCs w:val="44"/>
        </w:rPr>
        <w:t>名</w:t>
      </w:r>
      <w:r>
        <w:rPr>
          <w:rStyle w:val="25"/>
          <w:rFonts w:hint="eastAsia" w:ascii="黑体" w:hAnsi="黑体" w:eastAsia="黑体"/>
          <w:b w:val="0"/>
        </w:rPr>
        <w:t>词解释</w:t>
      </w:r>
      <w:bookmarkEnd w:id="78"/>
      <w:bookmarkEnd w:id="79"/>
      <w:bookmarkEnd w:id="8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4.卫生健康支出</w:t>
      </w:r>
      <w:r>
        <w:rPr>
          <w:rFonts w:ascii="仿宋_GB2312" w:hAnsi="仿宋_GB2312" w:eastAsia="仿宋_GB2312" w:cs="仿宋_GB2312"/>
          <w:bCs/>
          <w:sz w:val="32"/>
          <w:szCs w:val="32"/>
        </w:rPr>
        <w:t>（类）</w:t>
      </w:r>
      <w:r>
        <w:rPr>
          <w:rFonts w:hint="eastAsia" w:ascii="仿宋_GB2312" w:hAnsi="仿宋_GB2312" w:eastAsia="仿宋_GB2312" w:cs="仿宋_GB2312"/>
          <w:bCs/>
          <w:sz w:val="32"/>
          <w:szCs w:val="32"/>
        </w:rPr>
        <w:t>基层医疗卫生机构</w:t>
      </w:r>
      <w:r>
        <w:rPr>
          <w:rFonts w:ascii="仿宋_GB2312" w:hAnsi="仿宋_GB2312" w:eastAsia="仿宋_GB2312" w:cs="仿宋_GB2312"/>
          <w:bCs/>
          <w:sz w:val="32"/>
          <w:szCs w:val="32"/>
        </w:rPr>
        <w:t>（款）</w:t>
      </w:r>
      <w:r>
        <w:rPr>
          <w:rFonts w:hint="eastAsia" w:ascii="宋体" w:hAnsi="宋体" w:cs="宋体"/>
          <w:bCs/>
          <w:sz w:val="32"/>
          <w:szCs w:val="32"/>
        </w:rPr>
        <w:t> </w:t>
      </w:r>
      <w:r>
        <w:rPr>
          <w:rFonts w:ascii="仿宋_GB2312" w:hAnsi="仿宋_GB2312" w:eastAsia="仿宋_GB2312" w:cs="仿宋_GB2312"/>
          <w:bCs/>
          <w:sz w:val="32"/>
          <w:szCs w:val="32"/>
        </w:rPr>
        <w:t>其他基层医疗卫生机构支出（项）</w:t>
      </w:r>
      <w:r>
        <w:rPr>
          <w:rFonts w:hint="eastAsia" w:ascii="仿宋_GB2312" w:hAnsi="仿宋_GB2312" w:eastAsia="仿宋_GB2312" w:cs="仿宋_GB2312"/>
          <w:bCs/>
          <w:sz w:val="32"/>
          <w:szCs w:val="32"/>
        </w:rPr>
        <w:t>：指基层医疗机构村卫生室补助支出</w:t>
      </w:r>
      <w:r>
        <w:rPr>
          <w:rFonts w:ascii="仿宋_GB2312" w:hAnsi="仿宋_GB2312" w:eastAsia="仿宋_GB2312" w:cs="仿宋_GB2312"/>
          <w:bCs/>
          <w:sz w:val="32"/>
          <w:szCs w:val="32"/>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5.卫生健康支出</w:t>
      </w:r>
      <w:r>
        <w:rPr>
          <w:rFonts w:ascii="仿宋_GB2312" w:hAnsi="仿宋_GB2312" w:eastAsia="仿宋_GB2312" w:cs="仿宋_GB2312"/>
          <w:bCs/>
          <w:sz w:val="32"/>
          <w:szCs w:val="32"/>
        </w:rPr>
        <w:t>（类）</w:t>
      </w:r>
      <w:r>
        <w:rPr>
          <w:rFonts w:hint="eastAsia" w:ascii="仿宋_GB2312" w:hAnsi="仿宋_GB2312" w:eastAsia="仿宋_GB2312" w:cs="仿宋_GB2312"/>
          <w:bCs/>
          <w:sz w:val="32"/>
          <w:szCs w:val="32"/>
        </w:rPr>
        <w:t>公共卫生（款）基本公共卫生服务（项）：指基层医疗机构提供基本公共卫生服务支出</w:t>
      </w:r>
      <w:r>
        <w:rPr>
          <w:rFonts w:ascii="仿宋_GB2312" w:hAnsi="仿宋_GB2312" w:eastAsia="仿宋_GB2312" w:cs="仿宋_GB2312"/>
          <w:bCs/>
          <w:sz w:val="32"/>
          <w:szCs w:val="32"/>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6.卫生健康（类）公共卫生（款）重大公共卫生服务（项）：指重大疾病、重大传染病预防控制等重大公共卫生服务项目支出。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7.农林水支出（类）巩固脱贫衔接乡村振兴（款）社会发展（项）：指农村欠发达地区中小学教育、文化、广播、电视、卫生健康等方面的支出。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w:t>
      </w:r>
      <w:r>
        <w:rPr>
          <w:rFonts w:ascii="仿宋_GB2312" w:hAnsi="仿宋_GB2312" w:eastAsia="仿宋_GB2312" w:cs="仿宋_GB2312"/>
          <w:bCs/>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w:t>
      </w:r>
      <w:r>
        <w:rPr>
          <w:rFonts w:ascii="仿宋_GB2312" w:hAnsi="仿宋_GB2312" w:eastAsia="仿宋_GB2312" w:cs="仿宋_GB2312"/>
          <w:bCs/>
          <w:sz w:val="32"/>
          <w:szCs w:val="32"/>
        </w:rPr>
        <w:t>卫生健康（类）行政事业单位医疗（款）事业单位医疗（项）：指事业单位用于缴纳单位基本医疗保险支出。</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w:t>
      </w:r>
      <w:r>
        <w:rPr>
          <w:rFonts w:ascii="仿宋_GB2312" w:hAnsi="仿宋_GB2312" w:eastAsia="仿宋_GB2312" w:cs="仿宋_GB2312"/>
          <w:bCs/>
          <w:sz w:val="32"/>
          <w:szCs w:val="32"/>
        </w:rPr>
        <w:t>住房保障（类）住房改革支出（款）住房公积金（项）：指按照《住房公积金管理条例》的规定，由单位及其在职职工缴存的长期住房储金。</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11.卫生健康支出</w:t>
      </w:r>
      <w:r>
        <w:rPr>
          <w:rFonts w:ascii="仿宋_GB2312" w:hAnsi="仿宋_GB2312" w:eastAsia="仿宋_GB2312" w:cs="仿宋_GB2312"/>
          <w:bCs/>
          <w:sz w:val="32"/>
          <w:szCs w:val="32"/>
        </w:rPr>
        <w:t>（类）</w:t>
      </w:r>
      <w:r>
        <w:rPr>
          <w:rFonts w:hint="eastAsia" w:ascii="仿宋_GB2312" w:hAnsi="仿宋_GB2312" w:eastAsia="仿宋_GB2312" w:cs="仿宋_GB2312"/>
          <w:bCs/>
          <w:sz w:val="32"/>
          <w:szCs w:val="32"/>
        </w:rPr>
        <w:t>基层医疗卫生机构</w:t>
      </w:r>
      <w:r>
        <w:rPr>
          <w:rFonts w:ascii="仿宋_GB2312" w:hAnsi="仿宋_GB2312" w:eastAsia="仿宋_GB2312" w:cs="仿宋_GB2312"/>
          <w:bCs/>
          <w:sz w:val="32"/>
          <w:szCs w:val="32"/>
        </w:rPr>
        <w:t>（款）</w:t>
      </w:r>
      <w:r>
        <w:rPr>
          <w:rFonts w:hint="eastAsia" w:ascii="仿宋_GB2312" w:hAnsi="仿宋_GB2312" w:eastAsia="仿宋_GB2312" w:cs="仿宋_GB2312"/>
          <w:bCs/>
          <w:sz w:val="32"/>
          <w:szCs w:val="32"/>
        </w:rPr>
        <w:t>乡镇卫生院</w:t>
      </w:r>
      <w:r>
        <w:rPr>
          <w:rFonts w:ascii="仿宋_GB2312" w:hAnsi="仿宋_GB2312" w:eastAsia="仿宋_GB2312" w:cs="仿宋_GB2312"/>
          <w:bCs/>
          <w:sz w:val="32"/>
          <w:szCs w:val="32"/>
        </w:rPr>
        <w:t>（项）</w:t>
      </w:r>
      <w:r>
        <w:rPr>
          <w:rFonts w:hint="eastAsia" w:ascii="仿宋_GB2312" w:hAnsi="仿宋_GB2312" w:eastAsia="仿宋_GB2312" w:cs="仿宋_GB2312"/>
          <w:bCs/>
          <w:sz w:val="32"/>
          <w:szCs w:val="32"/>
        </w:rPr>
        <w:t>：指为保证机构正常运转，完成日常工作任务而发生的人员经费以及日常公用经费。</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12.卫生健康支出（类）</w:t>
      </w:r>
      <w:r>
        <w:rPr>
          <w:rFonts w:hint="eastAsia" w:ascii="宋体" w:hAnsi="宋体" w:cs="宋体"/>
          <w:bCs/>
          <w:sz w:val="32"/>
          <w:szCs w:val="32"/>
        </w:rPr>
        <w:t> </w:t>
      </w:r>
      <w:r>
        <w:rPr>
          <w:rFonts w:hint="eastAsia" w:ascii="仿宋_GB2312" w:hAnsi="仿宋_GB2312" w:eastAsia="仿宋_GB2312" w:cs="仿宋_GB2312"/>
          <w:bCs/>
          <w:sz w:val="32"/>
          <w:szCs w:val="32"/>
        </w:rPr>
        <w:t>其他卫生健康支出（款）其他卫生健康支出（项）：指用于机构其他卫生健康相关事务支出。</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81" w:name="_Toc15377226"/>
      <w:r>
        <w:rPr>
          <w:rFonts w:ascii="宋体"/>
          <w:b/>
          <w:sz w:val="44"/>
          <w:szCs w:val="44"/>
        </w:rPr>
        <w:br w:type="page"/>
      </w:r>
      <w:bookmarkStart w:id="82" w:name="_Toc15396614"/>
      <w:bookmarkStart w:id="83" w:name="_Toc147932994"/>
      <w:r>
        <w:rPr>
          <w:rFonts w:hint="eastAsia" w:ascii="黑体" w:hAnsi="黑体" w:eastAsia="黑体"/>
          <w:sz w:val="44"/>
          <w:szCs w:val="44"/>
        </w:rPr>
        <w:t>第</w:t>
      </w:r>
      <w:r>
        <w:rPr>
          <w:rStyle w:val="25"/>
          <w:rFonts w:hint="eastAsia" w:ascii="黑体" w:hAnsi="黑体" w:eastAsia="黑体"/>
          <w:b w:val="0"/>
        </w:rPr>
        <w:t>四部分 附件</w:t>
      </w:r>
      <w:bookmarkEnd w:id="82"/>
      <w:bookmarkEnd w:id="83"/>
    </w:p>
    <w:p>
      <w:pPr>
        <w:pStyle w:val="4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剑阁县武连镇中心卫生院</w:t>
      </w:r>
    </w:p>
    <w:p>
      <w:pPr>
        <w:pStyle w:val="4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2022年专项资金决算项目绩效自评报告</w:t>
      </w:r>
    </w:p>
    <w:p>
      <w:pPr>
        <w:pStyle w:val="44"/>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一、项目概况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剑阁县武连镇中心卫生院2022年开展常态化核酸检测工作项目。重点说明以下内容：</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（一）项目资金申报及批复情况。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项目资金申报严格按照核酸检测人次数来确定资金标准，资金批复按照流程一级上报一级。</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（二）项目绩效目标。</w:t>
      </w:r>
    </w:p>
    <w:p>
      <w:pPr>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2022年开展常态化核酸检测工作，旨在及时高效完成常态化全员核酸任务，确保人民群众生命健康安全。以2022年开展常态化核酸检测单采及混采检测人数为基准，以一定的补助标准进行资金申报，</w:t>
      </w:r>
      <w:r>
        <w:rPr>
          <w:rFonts w:ascii="仿宋_GB2312" w:hAnsi="Calibri" w:eastAsia="仿宋_GB2312" w:cs="仿宋"/>
          <w:kern w:val="0"/>
          <w:sz w:val="32"/>
          <w:szCs w:val="32"/>
        </w:rPr>
        <w:t>且任务完成覆盖率达</w:t>
      </w:r>
      <w:r>
        <w:rPr>
          <w:rFonts w:hint="eastAsia" w:ascii="仿宋_GB2312" w:hAnsi="Calibri" w:eastAsia="仿宋_GB2312" w:cs="仿宋"/>
          <w:kern w:val="0"/>
          <w:sz w:val="32"/>
          <w:szCs w:val="32"/>
        </w:rPr>
        <w:t>100%，满意度95%。</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（三）项目资金申报相符性。</w:t>
      </w:r>
    </w:p>
    <w:p>
      <w:pPr>
        <w:ind w:left="-290" w:leftChars="-138" w:firstLine="960" w:firstLineChars="3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资金申报资料真实合理；申报资金与核酸检测人次数相关联。</w:t>
      </w:r>
    </w:p>
    <w:p>
      <w:pPr>
        <w:adjustRightInd w:val="0"/>
        <w:snapToGrid w:val="0"/>
        <w:spacing w:line="578"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二、项目实施及管理情况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（一）资金计划、到位及使用情况。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1．资金计划及到位。2022年财政下达常态化核酸检测项目资金17.98万元，于2022年12月31日前执行完成，下达资金全部用于2022年开展常态化核酸检测工作。</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2．资金使用。财政审核已审核资金已经及时执行，到位率100%,支付合规合法。</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（二）项目财务管理情况。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严格执行政府财务管理制度、财务处理及时、会计核算规范。</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（三）项目组织实施情况。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资金按时按量支付到位。</w:t>
      </w:r>
    </w:p>
    <w:p>
      <w:pPr>
        <w:adjustRightInd w:val="0"/>
        <w:snapToGrid w:val="0"/>
        <w:spacing w:line="578"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三、项目绩效情况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（一）项目完成情况。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剑阁县武连镇中心卫生院2022年常态化核酸检测17.98万元，于2022年12月31日前执行完成，下达资金全部用于2022年开展常态化核酸检测工作中；以单采、混采检测人次数为标准，且在一年内完成此项工作，</w:t>
      </w:r>
      <w:r>
        <w:rPr>
          <w:rFonts w:ascii="仿宋_GB2312" w:hAnsi="Calibri" w:eastAsia="仿宋_GB2312" w:cs="仿宋"/>
          <w:kern w:val="0"/>
          <w:sz w:val="32"/>
          <w:szCs w:val="32"/>
        </w:rPr>
        <w:t xml:space="preserve"> 质量上任务完成覆盖率</w:t>
      </w:r>
      <w:r>
        <w:rPr>
          <w:rFonts w:hint="eastAsia" w:ascii="仿宋_GB2312" w:hAnsi="Calibri" w:eastAsia="仿宋_GB2312" w:cs="仿宋"/>
          <w:kern w:val="0"/>
          <w:sz w:val="32"/>
          <w:szCs w:val="32"/>
        </w:rPr>
        <w:t>100%，核酸检测覆盖率100%，满意度达95%。</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（二）项目效益情况。</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服务对象满意度达95%以上。</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四、问题及建议</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（一）存在的问题。</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（二）相关建议。</w:t>
      </w:r>
    </w:p>
    <w:p>
      <w:pPr>
        <w:spacing w:line="4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spacing w:line="572" w:lineRule="exact"/>
        <w:jc w:val="left"/>
        <w:outlineLvl w:val="0"/>
        <w:rPr>
          <w:rFonts w:ascii="仿宋_GB2312" w:hAnsi="仿宋_GB2312" w:eastAsia="仿宋_GB2312" w:cs="仿宋_GB2312"/>
          <w:sz w:val="32"/>
          <w:szCs w:val="32"/>
        </w:rPr>
      </w:pPr>
    </w:p>
    <w:tbl>
      <w:tblPr>
        <w:tblStyle w:val="12"/>
        <w:tblW w:w="9787" w:type="dxa"/>
        <w:tblInd w:w="-459" w:type="dxa"/>
        <w:tblLayout w:type="autofit"/>
        <w:tblCellMar>
          <w:top w:w="0" w:type="dxa"/>
          <w:left w:w="108" w:type="dxa"/>
          <w:bottom w:w="0" w:type="dxa"/>
          <w:right w:w="108" w:type="dxa"/>
        </w:tblCellMar>
      </w:tblPr>
      <w:tblGrid>
        <w:gridCol w:w="1122"/>
        <w:gridCol w:w="46"/>
        <w:gridCol w:w="1084"/>
        <w:gridCol w:w="365"/>
        <w:gridCol w:w="728"/>
        <w:gridCol w:w="405"/>
        <w:gridCol w:w="841"/>
        <w:gridCol w:w="353"/>
        <w:gridCol w:w="82"/>
        <w:gridCol w:w="377"/>
        <w:gridCol w:w="556"/>
        <w:gridCol w:w="82"/>
        <w:gridCol w:w="327"/>
        <w:gridCol w:w="69"/>
        <w:gridCol w:w="874"/>
        <w:gridCol w:w="105"/>
        <w:gridCol w:w="486"/>
        <w:gridCol w:w="13"/>
        <w:gridCol w:w="387"/>
        <w:gridCol w:w="13"/>
        <w:gridCol w:w="1472"/>
      </w:tblGrid>
      <w:tr>
        <w:tblPrEx>
          <w:tblCellMar>
            <w:top w:w="0" w:type="dxa"/>
            <w:left w:w="108" w:type="dxa"/>
            <w:bottom w:w="0" w:type="dxa"/>
            <w:right w:w="108" w:type="dxa"/>
          </w:tblCellMar>
        </w:tblPrEx>
        <w:trPr>
          <w:trHeight w:val="285" w:hRule="atLeast"/>
        </w:trPr>
        <w:tc>
          <w:tcPr>
            <w:tcW w:w="112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bookmarkStart w:id="84" w:name="_Toc15396618"/>
          </w:p>
        </w:tc>
        <w:tc>
          <w:tcPr>
            <w:tcW w:w="113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093"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246"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35"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33"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09"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943"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604"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4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c>
          <w:tcPr>
            <w:tcW w:w="1472"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03" w:hRule="atLeast"/>
        </w:trPr>
        <w:tc>
          <w:tcPr>
            <w:tcW w:w="978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17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51082323T000007709260-常态化核酸检测</w:t>
            </w:r>
          </w:p>
        </w:tc>
      </w:tr>
      <w:tr>
        <w:tblPrEx>
          <w:tblCellMar>
            <w:top w:w="0" w:type="dxa"/>
            <w:left w:w="108" w:type="dxa"/>
            <w:bottom w:w="0" w:type="dxa"/>
            <w:right w:w="108" w:type="dxa"/>
          </w:tblCellMar>
        </w:tblPrEx>
        <w:trPr>
          <w:trHeight w:val="513" w:hRule="atLeast"/>
        </w:trPr>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8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剑阁县卫生健康局部门</w:t>
            </w:r>
          </w:p>
        </w:tc>
        <w:tc>
          <w:tcPr>
            <w:tcW w:w="979" w:type="dxa"/>
            <w:gridSpan w:val="2"/>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剑阁县武连镇中心卫生院</w:t>
            </w:r>
          </w:p>
        </w:tc>
      </w:tr>
      <w:tr>
        <w:tblPrEx>
          <w:tblCellMar>
            <w:top w:w="0" w:type="dxa"/>
            <w:left w:w="108" w:type="dxa"/>
            <w:bottom w:w="0" w:type="dxa"/>
            <w:right w:w="108" w:type="dxa"/>
          </w:tblCellMar>
        </w:tblPrEx>
        <w:trPr>
          <w:trHeight w:val="285" w:hRule="atLeast"/>
        </w:trPr>
        <w:tc>
          <w:tcPr>
            <w:tcW w:w="11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449"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8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3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8"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82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3"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17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11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8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17.98</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17.98</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5"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17.98</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17.98</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8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8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8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8"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9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8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3" w:hRule="atLeast"/>
        </w:trPr>
        <w:tc>
          <w:tcPr>
            <w:tcW w:w="11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3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48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9" w:hRule="atLeast"/>
        </w:trPr>
        <w:tc>
          <w:tcPr>
            <w:tcW w:w="116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44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3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8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74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85"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trPr>
        <w:tc>
          <w:tcPr>
            <w:tcW w:w="1168"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19"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3" w:hRule="atLeast"/>
        </w:trPr>
        <w:tc>
          <w:tcPr>
            <w:tcW w:w="1168"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19"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3" w:hRule="atLeast"/>
        </w:trPr>
        <w:tc>
          <w:tcPr>
            <w:tcW w:w="1168"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19"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54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4384" w:type="dxa"/>
            <w:gridSpan w:val="11"/>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pPr>
        <w:spacing w:line="600" w:lineRule="exact"/>
        <w:jc w:val="center"/>
        <w:outlineLvl w:val="0"/>
        <w:rPr>
          <w:rFonts w:ascii="仿宋" w:hAnsi="仿宋" w:eastAsia="仿宋"/>
        </w:rPr>
      </w:pPr>
      <w:bookmarkStart w:id="85" w:name="_Toc147932996"/>
      <w:r>
        <w:rPr>
          <w:rFonts w:hint="eastAsia" w:ascii="黑体" w:hAnsi="黑体" w:eastAsia="黑体"/>
          <w:sz w:val="44"/>
          <w:szCs w:val="44"/>
        </w:rPr>
        <w:t>第</w:t>
      </w:r>
      <w:r>
        <w:rPr>
          <w:rStyle w:val="25"/>
          <w:rFonts w:hint="eastAsia" w:ascii="黑体" w:hAnsi="黑体" w:eastAsia="黑体"/>
          <w:b w:val="0"/>
        </w:rPr>
        <w:t>五部分 附表</w:t>
      </w:r>
      <w:bookmarkEnd w:id="81"/>
      <w:bookmarkEnd w:id="84"/>
      <w:bookmarkEnd w:id="85"/>
      <w:bookmarkStart w:id="86" w:name="_Toc15396619"/>
    </w:p>
    <w:p>
      <w:pPr>
        <w:pStyle w:val="4"/>
        <w:rPr>
          <w:rFonts w:ascii="仿宋" w:hAnsi="仿宋" w:eastAsia="仿宋"/>
        </w:rPr>
      </w:pPr>
      <w:bookmarkStart w:id="87" w:name="_Toc147932997"/>
      <w:r>
        <w:rPr>
          <w:rFonts w:hint="eastAsia" w:ascii="仿宋" w:hAnsi="仿宋" w:eastAsia="仿宋"/>
          <w:b w:val="0"/>
        </w:rPr>
        <w:t>一、收</w:t>
      </w:r>
      <w:r>
        <w:rPr>
          <w:rStyle w:val="26"/>
          <w:rFonts w:hint="eastAsia" w:ascii="仿宋" w:hAnsi="仿宋" w:eastAsia="仿宋"/>
          <w:b w:val="0"/>
          <w:bCs w:val="0"/>
        </w:rPr>
        <w:t>入支出决算总表</w:t>
      </w:r>
      <w:bookmarkEnd w:id="86"/>
      <w:bookmarkEnd w:id="87"/>
    </w:p>
    <w:p>
      <w:pPr>
        <w:pStyle w:val="4"/>
        <w:rPr>
          <w:rFonts w:ascii="仿宋" w:hAnsi="仿宋" w:eastAsia="仿宋"/>
        </w:rPr>
      </w:pPr>
      <w:bookmarkStart w:id="88" w:name="_Toc15396620"/>
      <w:bookmarkStart w:id="89" w:name="_Toc147932998"/>
      <w:r>
        <w:rPr>
          <w:rFonts w:hint="eastAsia" w:ascii="仿宋" w:hAnsi="仿宋" w:eastAsia="仿宋"/>
          <w:b w:val="0"/>
        </w:rPr>
        <w:t>二、收</w:t>
      </w:r>
      <w:r>
        <w:rPr>
          <w:rStyle w:val="26"/>
          <w:rFonts w:hint="eastAsia" w:ascii="仿宋" w:hAnsi="仿宋" w:eastAsia="仿宋"/>
          <w:b w:val="0"/>
          <w:bCs w:val="0"/>
        </w:rPr>
        <w:t>入决算表</w:t>
      </w:r>
      <w:bookmarkEnd w:id="88"/>
      <w:bookmarkEnd w:id="89"/>
    </w:p>
    <w:p>
      <w:pPr>
        <w:pStyle w:val="4"/>
        <w:rPr>
          <w:rFonts w:ascii="仿宋" w:hAnsi="仿宋" w:eastAsia="仿宋"/>
        </w:rPr>
      </w:pPr>
      <w:bookmarkStart w:id="90" w:name="_Toc15396621"/>
      <w:bookmarkStart w:id="91" w:name="_Toc147932999"/>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90"/>
      <w:bookmarkEnd w:id="91"/>
    </w:p>
    <w:p>
      <w:pPr>
        <w:pStyle w:val="4"/>
        <w:rPr>
          <w:rFonts w:ascii="仿宋" w:hAnsi="仿宋" w:eastAsia="仿宋"/>
          <w:b w:val="0"/>
        </w:rPr>
      </w:pPr>
      <w:bookmarkStart w:id="92" w:name="_Toc15396622"/>
      <w:bookmarkStart w:id="93" w:name="_Toc147933000"/>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92"/>
      <w:bookmarkEnd w:id="93"/>
    </w:p>
    <w:p>
      <w:pPr>
        <w:pStyle w:val="4"/>
        <w:rPr>
          <w:rStyle w:val="26"/>
          <w:rFonts w:ascii="仿宋" w:hAnsi="仿宋" w:eastAsia="仿宋"/>
          <w:b w:val="0"/>
          <w:bCs w:val="0"/>
        </w:rPr>
      </w:pPr>
      <w:bookmarkStart w:id="94" w:name="_Toc15396623"/>
      <w:bookmarkStart w:id="95" w:name="_Toc147933001"/>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4"/>
      <w:bookmarkEnd w:id="95"/>
      <w:bookmarkStart w:id="96" w:name="_Toc15396624"/>
    </w:p>
    <w:p>
      <w:pPr>
        <w:pStyle w:val="4"/>
        <w:rPr>
          <w:rFonts w:ascii="仿宋" w:hAnsi="仿宋" w:eastAsia="仿宋"/>
        </w:rPr>
      </w:pPr>
      <w:bookmarkStart w:id="97" w:name="_Toc147933002"/>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96"/>
      <w:bookmarkEnd w:id="97"/>
    </w:p>
    <w:p>
      <w:pPr>
        <w:pStyle w:val="4"/>
        <w:rPr>
          <w:rFonts w:ascii="仿宋" w:hAnsi="仿宋" w:eastAsia="仿宋"/>
        </w:rPr>
      </w:pPr>
      <w:bookmarkStart w:id="98" w:name="_Toc15396625"/>
      <w:bookmarkStart w:id="99" w:name="_Toc147933003"/>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8"/>
      <w:bookmarkEnd w:id="99"/>
    </w:p>
    <w:p>
      <w:pPr>
        <w:pStyle w:val="4"/>
        <w:rPr>
          <w:rFonts w:ascii="仿宋" w:hAnsi="仿宋" w:eastAsia="仿宋"/>
        </w:rPr>
      </w:pPr>
      <w:bookmarkStart w:id="100" w:name="_Toc15396626"/>
      <w:bookmarkStart w:id="101" w:name="_Toc147933004"/>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00"/>
      <w:bookmarkEnd w:id="101"/>
    </w:p>
    <w:p>
      <w:pPr>
        <w:pStyle w:val="4"/>
        <w:rPr>
          <w:rFonts w:ascii="仿宋" w:hAnsi="仿宋" w:eastAsia="仿宋"/>
        </w:rPr>
      </w:pPr>
      <w:bookmarkStart w:id="102" w:name="_Toc15396627"/>
      <w:bookmarkStart w:id="103" w:name="_Toc147933005"/>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2"/>
      <w:bookmarkEnd w:id="103"/>
    </w:p>
    <w:p>
      <w:pPr>
        <w:pStyle w:val="4"/>
        <w:rPr>
          <w:rFonts w:ascii="仿宋" w:hAnsi="仿宋" w:eastAsia="仿宋"/>
        </w:rPr>
      </w:pPr>
      <w:bookmarkStart w:id="104" w:name="_Toc15396628"/>
      <w:bookmarkStart w:id="105" w:name="_Toc147933006"/>
      <w:r>
        <w:rPr>
          <w:rStyle w:val="26"/>
          <w:rFonts w:hint="eastAsia" w:ascii="仿宋" w:hAnsi="仿宋" w:eastAsia="仿宋"/>
          <w:b w:val="0"/>
          <w:bCs w:val="0"/>
        </w:rPr>
        <w:t>十、</w:t>
      </w:r>
      <w:bookmarkEnd w:id="104"/>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05"/>
    </w:p>
    <w:p>
      <w:pPr>
        <w:pStyle w:val="4"/>
        <w:rPr>
          <w:rFonts w:ascii="仿宋" w:hAnsi="仿宋" w:eastAsia="仿宋"/>
        </w:rPr>
      </w:pPr>
      <w:bookmarkStart w:id="106" w:name="_Toc15396629"/>
      <w:bookmarkStart w:id="107" w:name="_Toc147933007"/>
      <w:r>
        <w:rPr>
          <w:rStyle w:val="26"/>
          <w:rFonts w:hint="eastAsia" w:ascii="仿宋" w:hAnsi="仿宋" w:eastAsia="仿宋"/>
          <w:b w:val="0"/>
          <w:bCs w:val="0"/>
        </w:rPr>
        <w:t>十一、</w:t>
      </w:r>
      <w:bookmarkEnd w:id="106"/>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07"/>
    </w:p>
    <w:p>
      <w:pPr>
        <w:pStyle w:val="4"/>
        <w:rPr>
          <w:rFonts w:ascii="仿宋" w:hAnsi="仿宋" w:eastAsia="仿宋"/>
        </w:rPr>
      </w:pPr>
      <w:bookmarkStart w:id="108" w:name="_Toc15396630"/>
      <w:bookmarkStart w:id="109" w:name="_Toc147933008"/>
      <w:r>
        <w:rPr>
          <w:rStyle w:val="26"/>
          <w:rFonts w:hint="eastAsia" w:ascii="仿宋" w:hAnsi="仿宋" w:eastAsia="仿宋"/>
          <w:b w:val="0"/>
          <w:bCs w:val="0"/>
        </w:rPr>
        <w:t>十二、</w:t>
      </w:r>
      <w:bookmarkEnd w:id="108"/>
      <w:r>
        <w:rPr>
          <w:rStyle w:val="26"/>
          <w:rFonts w:hint="eastAsia" w:ascii="仿宋" w:hAnsi="仿宋" w:eastAsia="仿宋"/>
          <w:b w:val="0"/>
          <w:bCs w:val="0"/>
        </w:rPr>
        <w:t>国有资本经营预算财政拨款支出决算表</w:t>
      </w:r>
      <w:bookmarkEnd w:id="109"/>
    </w:p>
    <w:p>
      <w:pPr>
        <w:pStyle w:val="4"/>
        <w:rPr>
          <w:rFonts w:eastAsia="仿宋"/>
        </w:rPr>
      </w:pPr>
      <w:bookmarkStart w:id="110" w:name="_Toc15396631"/>
      <w:bookmarkStart w:id="111" w:name="_Toc147933009"/>
      <w:r>
        <w:rPr>
          <w:rStyle w:val="26"/>
          <w:rFonts w:hint="eastAsia" w:ascii="仿宋" w:hAnsi="仿宋" w:eastAsia="仿宋"/>
          <w:b w:val="0"/>
          <w:bCs w:val="0"/>
        </w:rPr>
        <w:t>十三、</w:t>
      </w:r>
      <w:bookmarkEnd w:id="110"/>
      <w:r>
        <w:rPr>
          <w:rStyle w:val="26"/>
          <w:rFonts w:hint="eastAsia" w:ascii="仿宋" w:hAnsi="仿宋" w:eastAsia="仿宋"/>
          <w:b w:val="0"/>
          <w:bCs w:val="0"/>
        </w:rPr>
        <w:t>财政拨款“三公”经费支出决算表</w:t>
      </w:r>
      <w:bookmarkEnd w:id="11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01B2F"/>
    <w:rsid w:val="00006F9F"/>
    <w:rsid w:val="000075AD"/>
    <w:rsid w:val="00020038"/>
    <w:rsid w:val="000222C6"/>
    <w:rsid w:val="00024B01"/>
    <w:rsid w:val="0002549F"/>
    <w:rsid w:val="000261BA"/>
    <w:rsid w:val="00026F24"/>
    <w:rsid w:val="00033BCC"/>
    <w:rsid w:val="00034DC2"/>
    <w:rsid w:val="00040377"/>
    <w:rsid w:val="0004087D"/>
    <w:rsid w:val="000409D9"/>
    <w:rsid w:val="000468DB"/>
    <w:rsid w:val="0006487A"/>
    <w:rsid w:val="00064B9A"/>
    <w:rsid w:val="00065F8F"/>
    <w:rsid w:val="00070A43"/>
    <w:rsid w:val="0007143A"/>
    <w:rsid w:val="000768F2"/>
    <w:rsid w:val="000809C9"/>
    <w:rsid w:val="00087298"/>
    <w:rsid w:val="0009184B"/>
    <w:rsid w:val="00092F63"/>
    <w:rsid w:val="00094236"/>
    <w:rsid w:val="0009593C"/>
    <w:rsid w:val="00097322"/>
    <w:rsid w:val="000A6A92"/>
    <w:rsid w:val="000B047F"/>
    <w:rsid w:val="000B0AC0"/>
    <w:rsid w:val="000B5923"/>
    <w:rsid w:val="000B5A48"/>
    <w:rsid w:val="000B6FF3"/>
    <w:rsid w:val="000C3467"/>
    <w:rsid w:val="000C3CA6"/>
    <w:rsid w:val="000C6D3E"/>
    <w:rsid w:val="000D1267"/>
    <w:rsid w:val="000D1D50"/>
    <w:rsid w:val="000D1FC6"/>
    <w:rsid w:val="000D4041"/>
    <w:rsid w:val="000D5782"/>
    <w:rsid w:val="000D6341"/>
    <w:rsid w:val="000D6D5A"/>
    <w:rsid w:val="000E04B8"/>
    <w:rsid w:val="000E2904"/>
    <w:rsid w:val="000E5728"/>
    <w:rsid w:val="000E6613"/>
    <w:rsid w:val="000E7119"/>
    <w:rsid w:val="000F5781"/>
    <w:rsid w:val="001016F7"/>
    <w:rsid w:val="00114E9B"/>
    <w:rsid w:val="0013615A"/>
    <w:rsid w:val="00136202"/>
    <w:rsid w:val="00142216"/>
    <w:rsid w:val="00144D6A"/>
    <w:rsid w:val="0014729F"/>
    <w:rsid w:val="00156A32"/>
    <w:rsid w:val="00157BAB"/>
    <w:rsid w:val="001654D1"/>
    <w:rsid w:val="001712F7"/>
    <w:rsid w:val="00174518"/>
    <w:rsid w:val="0018042A"/>
    <w:rsid w:val="0018106D"/>
    <w:rsid w:val="001877A7"/>
    <w:rsid w:val="00191536"/>
    <w:rsid w:val="00194472"/>
    <w:rsid w:val="001946CF"/>
    <w:rsid w:val="00196687"/>
    <w:rsid w:val="001A3C1B"/>
    <w:rsid w:val="001B2A8A"/>
    <w:rsid w:val="001C0070"/>
    <w:rsid w:val="001C0962"/>
    <w:rsid w:val="001D6EDF"/>
    <w:rsid w:val="001D7531"/>
    <w:rsid w:val="001E452E"/>
    <w:rsid w:val="001E737D"/>
    <w:rsid w:val="001F0592"/>
    <w:rsid w:val="001F1739"/>
    <w:rsid w:val="001F7506"/>
    <w:rsid w:val="002006CD"/>
    <w:rsid w:val="00202B36"/>
    <w:rsid w:val="00204B7A"/>
    <w:rsid w:val="00204CDE"/>
    <w:rsid w:val="00205720"/>
    <w:rsid w:val="0021101A"/>
    <w:rsid w:val="00220536"/>
    <w:rsid w:val="00227F7C"/>
    <w:rsid w:val="00230212"/>
    <w:rsid w:val="0023506A"/>
    <w:rsid w:val="00235629"/>
    <w:rsid w:val="00244329"/>
    <w:rsid w:val="00244BEB"/>
    <w:rsid w:val="00252F8D"/>
    <w:rsid w:val="002534E7"/>
    <w:rsid w:val="00256EB7"/>
    <w:rsid w:val="00260C38"/>
    <w:rsid w:val="002616C0"/>
    <w:rsid w:val="00265372"/>
    <w:rsid w:val="00265F7E"/>
    <w:rsid w:val="002662AA"/>
    <w:rsid w:val="0026761F"/>
    <w:rsid w:val="0027188B"/>
    <w:rsid w:val="00280496"/>
    <w:rsid w:val="0028144D"/>
    <w:rsid w:val="00294DC9"/>
    <w:rsid w:val="00295495"/>
    <w:rsid w:val="002A31DE"/>
    <w:rsid w:val="002A5B19"/>
    <w:rsid w:val="002B121C"/>
    <w:rsid w:val="002B1266"/>
    <w:rsid w:val="002B2613"/>
    <w:rsid w:val="002B266B"/>
    <w:rsid w:val="002C324B"/>
    <w:rsid w:val="002C7CD4"/>
    <w:rsid w:val="002D6D05"/>
    <w:rsid w:val="002E21C4"/>
    <w:rsid w:val="002E6F28"/>
    <w:rsid w:val="002F1818"/>
    <w:rsid w:val="002F567B"/>
    <w:rsid w:val="002F6742"/>
    <w:rsid w:val="00300E0D"/>
    <w:rsid w:val="0030272D"/>
    <w:rsid w:val="00307231"/>
    <w:rsid w:val="00307D79"/>
    <w:rsid w:val="00314707"/>
    <w:rsid w:val="00317427"/>
    <w:rsid w:val="00321374"/>
    <w:rsid w:val="003213F9"/>
    <w:rsid w:val="003216A9"/>
    <w:rsid w:val="0032234F"/>
    <w:rsid w:val="00324E87"/>
    <w:rsid w:val="00330658"/>
    <w:rsid w:val="003344D4"/>
    <w:rsid w:val="00334DAF"/>
    <w:rsid w:val="00335A74"/>
    <w:rsid w:val="00337252"/>
    <w:rsid w:val="003409A5"/>
    <w:rsid w:val="00342E29"/>
    <w:rsid w:val="003508FA"/>
    <w:rsid w:val="003527D3"/>
    <w:rsid w:val="00353E02"/>
    <w:rsid w:val="0036561B"/>
    <w:rsid w:val="00367654"/>
    <w:rsid w:val="0037013F"/>
    <w:rsid w:val="00372857"/>
    <w:rsid w:val="00373F24"/>
    <w:rsid w:val="00380C92"/>
    <w:rsid w:val="0038566D"/>
    <w:rsid w:val="00390BFE"/>
    <w:rsid w:val="003955EC"/>
    <w:rsid w:val="003969E4"/>
    <w:rsid w:val="00397469"/>
    <w:rsid w:val="003A484F"/>
    <w:rsid w:val="003A4883"/>
    <w:rsid w:val="003B0BE0"/>
    <w:rsid w:val="003B0C1B"/>
    <w:rsid w:val="003B688C"/>
    <w:rsid w:val="003C0291"/>
    <w:rsid w:val="003C39AE"/>
    <w:rsid w:val="003C41B1"/>
    <w:rsid w:val="003C7B60"/>
    <w:rsid w:val="003D0C0F"/>
    <w:rsid w:val="003D1FB2"/>
    <w:rsid w:val="003D66DA"/>
    <w:rsid w:val="003E09CD"/>
    <w:rsid w:val="003E1310"/>
    <w:rsid w:val="003E5B69"/>
    <w:rsid w:val="003E6F55"/>
    <w:rsid w:val="003F16AF"/>
    <w:rsid w:val="003F4FB4"/>
    <w:rsid w:val="003F67F8"/>
    <w:rsid w:val="00406254"/>
    <w:rsid w:val="004223DE"/>
    <w:rsid w:val="00422E94"/>
    <w:rsid w:val="00426797"/>
    <w:rsid w:val="00434011"/>
    <w:rsid w:val="00434489"/>
    <w:rsid w:val="00435147"/>
    <w:rsid w:val="00435B6E"/>
    <w:rsid w:val="00437085"/>
    <w:rsid w:val="0044177B"/>
    <w:rsid w:val="00443880"/>
    <w:rsid w:val="00444844"/>
    <w:rsid w:val="004464F4"/>
    <w:rsid w:val="00456CD4"/>
    <w:rsid w:val="00461611"/>
    <w:rsid w:val="00462A33"/>
    <w:rsid w:val="00471401"/>
    <w:rsid w:val="00473F31"/>
    <w:rsid w:val="00473F6A"/>
    <w:rsid w:val="0047524C"/>
    <w:rsid w:val="0048263A"/>
    <w:rsid w:val="00487E5D"/>
    <w:rsid w:val="004921B1"/>
    <w:rsid w:val="00494B67"/>
    <w:rsid w:val="004971B4"/>
    <w:rsid w:val="004971BE"/>
    <w:rsid w:val="004A20DF"/>
    <w:rsid w:val="004A711F"/>
    <w:rsid w:val="004B199D"/>
    <w:rsid w:val="004B4050"/>
    <w:rsid w:val="004B4690"/>
    <w:rsid w:val="004B5108"/>
    <w:rsid w:val="004C7794"/>
    <w:rsid w:val="004D2CCB"/>
    <w:rsid w:val="004D7BF4"/>
    <w:rsid w:val="004E0A2D"/>
    <w:rsid w:val="004E206B"/>
    <w:rsid w:val="004E6DF7"/>
    <w:rsid w:val="004F0FBD"/>
    <w:rsid w:val="004F2EAB"/>
    <w:rsid w:val="005049CD"/>
    <w:rsid w:val="00505A47"/>
    <w:rsid w:val="00505C01"/>
    <w:rsid w:val="00512BF5"/>
    <w:rsid w:val="00512FDA"/>
    <w:rsid w:val="005145CB"/>
    <w:rsid w:val="00515B2B"/>
    <w:rsid w:val="00520DA0"/>
    <w:rsid w:val="00532BD7"/>
    <w:rsid w:val="00546294"/>
    <w:rsid w:val="005505B8"/>
    <w:rsid w:val="005529CC"/>
    <w:rsid w:val="0056310A"/>
    <w:rsid w:val="005645E6"/>
    <w:rsid w:val="005664BB"/>
    <w:rsid w:val="00566FFA"/>
    <w:rsid w:val="0057481D"/>
    <w:rsid w:val="00582595"/>
    <w:rsid w:val="0058486E"/>
    <w:rsid w:val="00585B33"/>
    <w:rsid w:val="00587AA4"/>
    <w:rsid w:val="0059014D"/>
    <w:rsid w:val="00590527"/>
    <w:rsid w:val="00592860"/>
    <w:rsid w:val="005B5C64"/>
    <w:rsid w:val="005C5337"/>
    <w:rsid w:val="005C6BD0"/>
    <w:rsid w:val="005D1C8B"/>
    <w:rsid w:val="005D468D"/>
    <w:rsid w:val="005D5CED"/>
    <w:rsid w:val="005E3626"/>
    <w:rsid w:val="005F0DE6"/>
    <w:rsid w:val="005F1A4C"/>
    <w:rsid w:val="00605688"/>
    <w:rsid w:val="006070AF"/>
    <w:rsid w:val="00607E6C"/>
    <w:rsid w:val="006101B1"/>
    <w:rsid w:val="006114AB"/>
    <w:rsid w:val="00613784"/>
    <w:rsid w:val="00614E44"/>
    <w:rsid w:val="00617598"/>
    <w:rsid w:val="0062270A"/>
    <w:rsid w:val="00622830"/>
    <w:rsid w:val="00623DA0"/>
    <w:rsid w:val="00630AEF"/>
    <w:rsid w:val="00630E31"/>
    <w:rsid w:val="006325F8"/>
    <w:rsid w:val="00633463"/>
    <w:rsid w:val="00634C9A"/>
    <w:rsid w:val="00636801"/>
    <w:rsid w:val="006440E4"/>
    <w:rsid w:val="00662D22"/>
    <w:rsid w:val="0066343B"/>
    <w:rsid w:val="00664777"/>
    <w:rsid w:val="00671A69"/>
    <w:rsid w:val="006748A4"/>
    <w:rsid w:val="00681A31"/>
    <w:rsid w:val="00683E73"/>
    <w:rsid w:val="006910E0"/>
    <w:rsid w:val="00692262"/>
    <w:rsid w:val="00692744"/>
    <w:rsid w:val="006A3141"/>
    <w:rsid w:val="006A55D1"/>
    <w:rsid w:val="006A5E34"/>
    <w:rsid w:val="006B2422"/>
    <w:rsid w:val="006B2B9A"/>
    <w:rsid w:val="006C180F"/>
    <w:rsid w:val="006C1937"/>
    <w:rsid w:val="006C457F"/>
    <w:rsid w:val="006D0159"/>
    <w:rsid w:val="006E1131"/>
    <w:rsid w:val="006F020C"/>
    <w:rsid w:val="006F2A38"/>
    <w:rsid w:val="006F2FC2"/>
    <w:rsid w:val="007009F1"/>
    <w:rsid w:val="0070297F"/>
    <w:rsid w:val="00703612"/>
    <w:rsid w:val="007127B7"/>
    <w:rsid w:val="00714483"/>
    <w:rsid w:val="0071506F"/>
    <w:rsid w:val="0071798E"/>
    <w:rsid w:val="00721915"/>
    <w:rsid w:val="00722C85"/>
    <w:rsid w:val="00731922"/>
    <w:rsid w:val="00740686"/>
    <w:rsid w:val="007416B6"/>
    <w:rsid w:val="00746F48"/>
    <w:rsid w:val="00751F16"/>
    <w:rsid w:val="0075404D"/>
    <w:rsid w:val="0076182A"/>
    <w:rsid w:val="00765AD7"/>
    <w:rsid w:val="00767B7E"/>
    <w:rsid w:val="00771A06"/>
    <w:rsid w:val="00776E00"/>
    <w:rsid w:val="007770C3"/>
    <w:rsid w:val="00784D24"/>
    <w:rsid w:val="00785FBA"/>
    <w:rsid w:val="00786E4A"/>
    <w:rsid w:val="007875EB"/>
    <w:rsid w:val="00787D32"/>
    <w:rsid w:val="0079426B"/>
    <w:rsid w:val="007A7103"/>
    <w:rsid w:val="007B23A8"/>
    <w:rsid w:val="007B5EB6"/>
    <w:rsid w:val="007C15BC"/>
    <w:rsid w:val="007D1682"/>
    <w:rsid w:val="007D312A"/>
    <w:rsid w:val="007D3F19"/>
    <w:rsid w:val="007E23B0"/>
    <w:rsid w:val="007E23E5"/>
    <w:rsid w:val="007E6365"/>
    <w:rsid w:val="007F1991"/>
    <w:rsid w:val="007F2C2F"/>
    <w:rsid w:val="007F55FC"/>
    <w:rsid w:val="007F5665"/>
    <w:rsid w:val="007F5FEA"/>
    <w:rsid w:val="00800112"/>
    <w:rsid w:val="008002CE"/>
    <w:rsid w:val="00813348"/>
    <w:rsid w:val="008171EA"/>
    <w:rsid w:val="00824523"/>
    <w:rsid w:val="008253BB"/>
    <w:rsid w:val="00826071"/>
    <w:rsid w:val="0083706E"/>
    <w:rsid w:val="008408F6"/>
    <w:rsid w:val="00840D22"/>
    <w:rsid w:val="008423A5"/>
    <w:rsid w:val="00845CF7"/>
    <w:rsid w:val="00850625"/>
    <w:rsid w:val="00853718"/>
    <w:rsid w:val="00855221"/>
    <w:rsid w:val="008558FB"/>
    <w:rsid w:val="00860645"/>
    <w:rsid w:val="00870624"/>
    <w:rsid w:val="008712D3"/>
    <w:rsid w:val="00871F71"/>
    <w:rsid w:val="00872FD8"/>
    <w:rsid w:val="00884E2F"/>
    <w:rsid w:val="00885AF4"/>
    <w:rsid w:val="008939CD"/>
    <w:rsid w:val="008B1B80"/>
    <w:rsid w:val="008B1B88"/>
    <w:rsid w:val="008B633F"/>
    <w:rsid w:val="008B768C"/>
    <w:rsid w:val="008C4DB1"/>
    <w:rsid w:val="008C4EAF"/>
    <w:rsid w:val="008C5176"/>
    <w:rsid w:val="008C7FD0"/>
    <w:rsid w:val="008D28B8"/>
    <w:rsid w:val="008E0A6B"/>
    <w:rsid w:val="008E1DE7"/>
    <w:rsid w:val="008E707C"/>
    <w:rsid w:val="00900B08"/>
    <w:rsid w:val="00902155"/>
    <w:rsid w:val="00902FA3"/>
    <w:rsid w:val="009149C6"/>
    <w:rsid w:val="009224F6"/>
    <w:rsid w:val="00923564"/>
    <w:rsid w:val="0092392E"/>
    <w:rsid w:val="009315F9"/>
    <w:rsid w:val="00933499"/>
    <w:rsid w:val="00935C98"/>
    <w:rsid w:val="00936562"/>
    <w:rsid w:val="00940FCC"/>
    <w:rsid w:val="00941679"/>
    <w:rsid w:val="0094203C"/>
    <w:rsid w:val="00946060"/>
    <w:rsid w:val="00946945"/>
    <w:rsid w:val="00951248"/>
    <w:rsid w:val="0095152F"/>
    <w:rsid w:val="009542E8"/>
    <w:rsid w:val="00954C49"/>
    <w:rsid w:val="00955E37"/>
    <w:rsid w:val="00956258"/>
    <w:rsid w:val="009575B9"/>
    <w:rsid w:val="0096294D"/>
    <w:rsid w:val="0097099F"/>
    <w:rsid w:val="00971997"/>
    <w:rsid w:val="00971FFC"/>
    <w:rsid w:val="00977DA0"/>
    <w:rsid w:val="00980A48"/>
    <w:rsid w:val="009818AA"/>
    <w:rsid w:val="0098660A"/>
    <w:rsid w:val="00991CE5"/>
    <w:rsid w:val="009931C3"/>
    <w:rsid w:val="009939CD"/>
    <w:rsid w:val="00994D93"/>
    <w:rsid w:val="00995D9D"/>
    <w:rsid w:val="009A2A40"/>
    <w:rsid w:val="009B14D1"/>
    <w:rsid w:val="009B2C43"/>
    <w:rsid w:val="009B4337"/>
    <w:rsid w:val="009B4EAE"/>
    <w:rsid w:val="009B7573"/>
    <w:rsid w:val="009C22F4"/>
    <w:rsid w:val="009C2A4B"/>
    <w:rsid w:val="009C2E98"/>
    <w:rsid w:val="009D3447"/>
    <w:rsid w:val="009D39AD"/>
    <w:rsid w:val="009D4711"/>
    <w:rsid w:val="009E0986"/>
    <w:rsid w:val="009E1840"/>
    <w:rsid w:val="009E3465"/>
    <w:rsid w:val="009F1185"/>
    <w:rsid w:val="009F18CD"/>
    <w:rsid w:val="009F2A13"/>
    <w:rsid w:val="009F7034"/>
    <w:rsid w:val="009F7527"/>
    <w:rsid w:val="00A04EB0"/>
    <w:rsid w:val="00A0616E"/>
    <w:rsid w:val="00A07ED3"/>
    <w:rsid w:val="00A137DE"/>
    <w:rsid w:val="00A13CC1"/>
    <w:rsid w:val="00A16847"/>
    <w:rsid w:val="00A227CF"/>
    <w:rsid w:val="00A237D8"/>
    <w:rsid w:val="00A24E14"/>
    <w:rsid w:val="00A268C4"/>
    <w:rsid w:val="00A307CD"/>
    <w:rsid w:val="00A331C8"/>
    <w:rsid w:val="00A40A00"/>
    <w:rsid w:val="00A4142F"/>
    <w:rsid w:val="00A422EB"/>
    <w:rsid w:val="00A45BB7"/>
    <w:rsid w:val="00A468C2"/>
    <w:rsid w:val="00A510F0"/>
    <w:rsid w:val="00A53001"/>
    <w:rsid w:val="00A56DF2"/>
    <w:rsid w:val="00A56E6E"/>
    <w:rsid w:val="00A56FD1"/>
    <w:rsid w:val="00A656AB"/>
    <w:rsid w:val="00A67428"/>
    <w:rsid w:val="00A67AB5"/>
    <w:rsid w:val="00A733B2"/>
    <w:rsid w:val="00A741C2"/>
    <w:rsid w:val="00A91760"/>
    <w:rsid w:val="00A92F71"/>
    <w:rsid w:val="00A93B00"/>
    <w:rsid w:val="00A93C21"/>
    <w:rsid w:val="00A974F7"/>
    <w:rsid w:val="00AA065D"/>
    <w:rsid w:val="00AA25E5"/>
    <w:rsid w:val="00AA4F95"/>
    <w:rsid w:val="00AA54D8"/>
    <w:rsid w:val="00AA67DF"/>
    <w:rsid w:val="00AB64C9"/>
    <w:rsid w:val="00AC1718"/>
    <w:rsid w:val="00AC3925"/>
    <w:rsid w:val="00AC3C6A"/>
    <w:rsid w:val="00AD20B1"/>
    <w:rsid w:val="00AD251B"/>
    <w:rsid w:val="00AD5620"/>
    <w:rsid w:val="00AD656B"/>
    <w:rsid w:val="00AD7C1B"/>
    <w:rsid w:val="00AE012B"/>
    <w:rsid w:val="00AE16BA"/>
    <w:rsid w:val="00AE1EBE"/>
    <w:rsid w:val="00B002B1"/>
    <w:rsid w:val="00B013EA"/>
    <w:rsid w:val="00B0192F"/>
    <w:rsid w:val="00B03C9D"/>
    <w:rsid w:val="00B060AE"/>
    <w:rsid w:val="00B10517"/>
    <w:rsid w:val="00B13BF8"/>
    <w:rsid w:val="00B14E4A"/>
    <w:rsid w:val="00B14E76"/>
    <w:rsid w:val="00B161B8"/>
    <w:rsid w:val="00B2048C"/>
    <w:rsid w:val="00B310B9"/>
    <w:rsid w:val="00B35F3F"/>
    <w:rsid w:val="00B36CBB"/>
    <w:rsid w:val="00B4135F"/>
    <w:rsid w:val="00B425E0"/>
    <w:rsid w:val="00B440AA"/>
    <w:rsid w:val="00B44B70"/>
    <w:rsid w:val="00B53C56"/>
    <w:rsid w:val="00B57DAF"/>
    <w:rsid w:val="00B726E1"/>
    <w:rsid w:val="00B77EA6"/>
    <w:rsid w:val="00B81538"/>
    <w:rsid w:val="00B81598"/>
    <w:rsid w:val="00B821DB"/>
    <w:rsid w:val="00B839C5"/>
    <w:rsid w:val="00B841F1"/>
    <w:rsid w:val="00B84C0B"/>
    <w:rsid w:val="00B8653E"/>
    <w:rsid w:val="00B873A9"/>
    <w:rsid w:val="00B910B0"/>
    <w:rsid w:val="00B944D6"/>
    <w:rsid w:val="00B950AB"/>
    <w:rsid w:val="00B950D3"/>
    <w:rsid w:val="00B966C6"/>
    <w:rsid w:val="00BB1054"/>
    <w:rsid w:val="00BB422B"/>
    <w:rsid w:val="00BB44DC"/>
    <w:rsid w:val="00BB4DF0"/>
    <w:rsid w:val="00BB6E9E"/>
    <w:rsid w:val="00BC09E3"/>
    <w:rsid w:val="00BC289F"/>
    <w:rsid w:val="00BC2D50"/>
    <w:rsid w:val="00BC5361"/>
    <w:rsid w:val="00BC5460"/>
    <w:rsid w:val="00BC6B50"/>
    <w:rsid w:val="00BD0E25"/>
    <w:rsid w:val="00BD4E7F"/>
    <w:rsid w:val="00BD5D69"/>
    <w:rsid w:val="00BF015E"/>
    <w:rsid w:val="00BF5BD6"/>
    <w:rsid w:val="00C01736"/>
    <w:rsid w:val="00C03E31"/>
    <w:rsid w:val="00C05191"/>
    <w:rsid w:val="00C11235"/>
    <w:rsid w:val="00C12657"/>
    <w:rsid w:val="00C13955"/>
    <w:rsid w:val="00C1671B"/>
    <w:rsid w:val="00C24977"/>
    <w:rsid w:val="00C25DE3"/>
    <w:rsid w:val="00C33E72"/>
    <w:rsid w:val="00C354B2"/>
    <w:rsid w:val="00C35554"/>
    <w:rsid w:val="00C3773F"/>
    <w:rsid w:val="00C4220A"/>
    <w:rsid w:val="00C42709"/>
    <w:rsid w:val="00C43CA0"/>
    <w:rsid w:val="00C52F67"/>
    <w:rsid w:val="00C533CC"/>
    <w:rsid w:val="00C56F3A"/>
    <w:rsid w:val="00C5751C"/>
    <w:rsid w:val="00C60D3F"/>
    <w:rsid w:val="00C61BFC"/>
    <w:rsid w:val="00C62B85"/>
    <w:rsid w:val="00C65438"/>
    <w:rsid w:val="00C714F2"/>
    <w:rsid w:val="00C72B00"/>
    <w:rsid w:val="00C7507D"/>
    <w:rsid w:val="00C76BC9"/>
    <w:rsid w:val="00C7700E"/>
    <w:rsid w:val="00C80AAF"/>
    <w:rsid w:val="00C83A34"/>
    <w:rsid w:val="00C87FD8"/>
    <w:rsid w:val="00C90880"/>
    <w:rsid w:val="00C91381"/>
    <w:rsid w:val="00C91AD2"/>
    <w:rsid w:val="00C91CBB"/>
    <w:rsid w:val="00CA4C5D"/>
    <w:rsid w:val="00CB19F6"/>
    <w:rsid w:val="00CB213A"/>
    <w:rsid w:val="00CB3C71"/>
    <w:rsid w:val="00CB4E70"/>
    <w:rsid w:val="00CB6E54"/>
    <w:rsid w:val="00CC09B6"/>
    <w:rsid w:val="00CC32D7"/>
    <w:rsid w:val="00CC40C0"/>
    <w:rsid w:val="00CC666F"/>
    <w:rsid w:val="00CD1E3F"/>
    <w:rsid w:val="00CD4F78"/>
    <w:rsid w:val="00CE44F6"/>
    <w:rsid w:val="00CE49DA"/>
    <w:rsid w:val="00CE7B61"/>
    <w:rsid w:val="00CF3072"/>
    <w:rsid w:val="00D00095"/>
    <w:rsid w:val="00D0124D"/>
    <w:rsid w:val="00D01C42"/>
    <w:rsid w:val="00D06C22"/>
    <w:rsid w:val="00D06CF6"/>
    <w:rsid w:val="00D07AE9"/>
    <w:rsid w:val="00D114F0"/>
    <w:rsid w:val="00D11C4D"/>
    <w:rsid w:val="00D20620"/>
    <w:rsid w:val="00D24A23"/>
    <w:rsid w:val="00D254F7"/>
    <w:rsid w:val="00D26091"/>
    <w:rsid w:val="00D2685C"/>
    <w:rsid w:val="00D30635"/>
    <w:rsid w:val="00D31148"/>
    <w:rsid w:val="00D34E7C"/>
    <w:rsid w:val="00D35489"/>
    <w:rsid w:val="00D36AFE"/>
    <w:rsid w:val="00D410F0"/>
    <w:rsid w:val="00D419FD"/>
    <w:rsid w:val="00D42F94"/>
    <w:rsid w:val="00D51276"/>
    <w:rsid w:val="00D51323"/>
    <w:rsid w:val="00D53AD5"/>
    <w:rsid w:val="00D7035F"/>
    <w:rsid w:val="00D83E53"/>
    <w:rsid w:val="00D87498"/>
    <w:rsid w:val="00D9320F"/>
    <w:rsid w:val="00DA634F"/>
    <w:rsid w:val="00DA65AC"/>
    <w:rsid w:val="00DB1913"/>
    <w:rsid w:val="00DB625E"/>
    <w:rsid w:val="00DC0C47"/>
    <w:rsid w:val="00DC1886"/>
    <w:rsid w:val="00DC410D"/>
    <w:rsid w:val="00DC50F8"/>
    <w:rsid w:val="00DC5A81"/>
    <w:rsid w:val="00DC68CA"/>
    <w:rsid w:val="00DC7CBA"/>
    <w:rsid w:val="00DD5C91"/>
    <w:rsid w:val="00DD73B7"/>
    <w:rsid w:val="00DE399F"/>
    <w:rsid w:val="00DF28BC"/>
    <w:rsid w:val="00DF34B9"/>
    <w:rsid w:val="00E01053"/>
    <w:rsid w:val="00E01D61"/>
    <w:rsid w:val="00E02EA8"/>
    <w:rsid w:val="00E0493F"/>
    <w:rsid w:val="00E07ACF"/>
    <w:rsid w:val="00E172CF"/>
    <w:rsid w:val="00E2057D"/>
    <w:rsid w:val="00E2796F"/>
    <w:rsid w:val="00E32ED2"/>
    <w:rsid w:val="00E331A1"/>
    <w:rsid w:val="00E33202"/>
    <w:rsid w:val="00E336A9"/>
    <w:rsid w:val="00E353F8"/>
    <w:rsid w:val="00E427EC"/>
    <w:rsid w:val="00E431FB"/>
    <w:rsid w:val="00E472B1"/>
    <w:rsid w:val="00E4732A"/>
    <w:rsid w:val="00E50624"/>
    <w:rsid w:val="00E568DF"/>
    <w:rsid w:val="00E64269"/>
    <w:rsid w:val="00E64769"/>
    <w:rsid w:val="00E67BE3"/>
    <w:rsid w:val="00E70F5C"/>
    <w:rsid w:val="00E82267"/>
    <w:rsid w:val="00E853CE"/>
    <w:rsid w:val="00E867B6"/>
    <w:rsid w:val="00E922D9"/>
    <w:rsid w:val="00E92488"/>
    <w:rsid w:val="00E9536A"/>
    <w:rsid w:val="00E97288"/>
    <w:rsid w:val="00E97992"/>
    <w:rsid w:val="00EA010F"/>
    <w:rsid w:val="00EA6CEF"/>
    <w:rsid w:val="00EC1061"/>
    <w:rsid w:val="00EC46FD"/>
    <w:rsid w:val="00EC74F6"/>
    <w:rsid w:val="00ED0B36"/>
    <w:rsid w:val="00ED1B63"/>
    <w:rsid w:val="00ED3C1F"/>
    <w:rsid w:val="00ED4085"/>
    <w:rsid w:val="00ED420E"/>
    <w:rsid w:val="00ED6FBE"/>
    <w:rsid w:val="00ED744B"/>
    <w:rsid w:val="00EE2F57"/>
    <w:rsid w:val="00EF4C34"/>
    <w:rsid w:val="00EF6573"/>
    <w:rsid w:val="00EF77C6"/>
    <w:rsid w:val="00F050DA"/>
    <w:rsid w:val="00F05438"/>
    <w:rsid w:val="00F104E9"/>
    <w:rsid w:val="00F1361C"/>
    <w:rsid w:val="00F156B7"/>
    <w:rsid w:val="00F156F0"/>
    <w:rsid w:val="00F160C7"/>
    <w:rsid w:val="00F23702"/>
    <w:rsid w:val="00F23AA3"/>
    <w:rsid w:val="00F2408F"/>
    <w:rsid w:val="00F240E9"/>
    <w:rsid w:val="00F36D8F"/>
    <w:rsid w:val="00F36F88"/>
    <w:rsid w:val="00F417B1"/>
    <w:rsid w:val="00F45853"/>
    <w:rsid w:val="00F602DF"/>
    <w:rsid w:val="00F754A1"/>
    <w:rsid w:val="00F81FD9"/>
    <w:rsid w:val="00F841AA"/>
    <w:rsid w:val="00F84A94"/>
    <w:rsid w:val="00F87E96"/>
    <w:rsid w:val="00F96E3D"/>
    <w:rsid w:val="00FA205A"/>
    <w:rsid w:val="00FA23E8"/>
    <w:rsid w:val="00FA3A85"/>
    <w:rsid w:val="00FB6C80"/>
    <w:rsid w:val="00FC2B96"/>
    <w:rsid w:val="00FD3824"/>
    <w:rsid w:val="00FD3CC1"/>
    <w:rsid w:val="00FD75BA"/>
    <w:rsid w:val="00FD7FBF"/>
    <w:rsid w:val="00FE546A"/>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0D8183E"/>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semiHidden/>
    <w:unhideWhenUsed/>
    <w:qFormat/>
    <w:uiPriority w:val="99"/>
    <w:rPr>
      <w:color w:val="800080"/>
      <w:u w:val="singl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xl65"/>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3">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7">
    <w:name w:val="xl7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3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2">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图三!$A$2:$B$2</c:f>
              <c:strCache>
                <c:ptCount val="2"/>
                <c:pt idx="0">
                  <c:v>基本支出</c:v>
                </c:pt>
                <c:pt idx="1">
                  <c:v>项目支出</c:v>
                </c:pt>
              </c:strCache>
            </c:strRef>
          </c:cat>
          <c:val>
            <c:numRef>
              <c:f>图三!$A$3:$B$3</c:f>
              <c:numCache>
                <c:formatCode>0.00%</c:formatCode>
                <c:ptCount val="2"/>
                <c:pt idx="0">
                  <c:v>0.990228443153308</c:v>
                </c:pt>
                <c:pt idx="1">
                  <c:v>0.0097715568466922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delete val="1"/>
            </c:dLbl>
            <c:dLbl>
              <c:idx val="1"/>
              <c:layout>
                <c:manualLayout>
                  <c:x val="-0.00185853165002419"/>
                  <c:y val="-0.009921464895013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69977565653455"/>
                  <c:y val="-0.2147436160323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图6!$A$2:$A$5</c:f>
              <c:strCache>
                <c:ptCount val="4"/>
                <c:pt idx="0">
                  <c:v>农林水支出</c:v>
                </c:pt>
                <c:pt idx="1">
                  <c:v>社会保障和就业（类）支出</c:v>
                </c:pt>
                <c:pt idx="2">
                  <c:v>卫生健康(类)支出</c:v>
                </c:pt>
                <c:pt idx="3">
                  <c:v>住房保障（类）支出</c:v>
                </c:pt>
              </c:strCache>
            </c:strRef>
          </c:cat>
          <c:val>
            <c:numRef>
              <c:f>图6!$B$2:$B$5</c:f>
              <c:numCache>
                <c:formatCode>General</c:formatCode>
                <c:ptCount val="4"/>
                <c:pt idx="0">
                  <c:v>2</c:v>
                </c:pt>
                <c:pt idx="1">
                  <c:v>51.63</c:v>
                </c:pt>
                <c:pt idx="2">
                  <c:v>493.53</c:v>
                </c:pt>
                <c:pt idx="3">
                  <c:v>38.72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图7!$A$2:$A$4</c:f>
              <c:strCache>
                <c:ptCount val="3"/>
                <c:pt idx="0">
                  <c:v>因公出国（境）费支出</c:v>
                </c:pt>
                <c:pt idx="1">
                  <c:v>公务用车购置及运行维护费支出</c:v>
                </c:pt>
                <c:pt idx="2">
                  <c:v>公务接待费支出</c:v>
                </c:pt>
              </c:strCache>
            </c:strRef>
          </c:cat>
          <c:val>
            <c:numRef>
              <c:f>图7!$B$2:$B$4</c:f>
              <c:numCache>
                <c:formatCode>General</c:formatCode>
                <c:ptCount val="3"/>
                <c:pt idx="0">
                  <c:v>0</c:v>
                </c:pt>
                <c:pt idx="1">
                  <c:v>0</c:v>
                </c:pt>
                <c:pt idx="2">
                  <c:v>0.37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F15A-E974-4C84-9B62-D59322DBB76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1156</Words>
  <Characters>6592</Characters>
  <Lines>54</Lines>
  <Paragraphs>15</Paragraphs>
  <TotalTime>511</TotalTime>
  <ScaleCrop>false</ScaleCrop>
  <LinksUpToDate>false</LinksUpToDate>
  <CharactersWithSpaces>7733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2023-10-29T03:20:49Z</dcterms:modified>
  <dc:title>四川省***</dc:title>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74673A9C78F6498993120513ADA5891D_12</vt:lpwstr>
  </property>
</Properties>
</file>