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outlineLvl w:val="0"/>
        <w:rPr>
          <w:rFonts w:ascii="方正小标宋简体" w:hAnsi="宋体" w:eastAsia="方正小标宋简体"/>
          <w:szCs w:val="21"/>
        </w:rPr>
      </w:pPr>
      <w:bookmarkStart w:id="0" w:name="_Toc15306267"/>
    </w:p>
    <w:p>
      <w:pPr>
        <w:spacing w:line="600" w:lineRule="exact"/>
        <w:jc w:val="center"/>
        <w:outlineLvl w:val="0"/>
        <w:rPr>
          <w:rFonts w:ascii="方正小标宋简体" w:hAnsi="宋体" w:eastAsia="方正小标宋简体"/>
          <w:sz w:val="72"/>
          <w:szCs w:val="72"/>
        </w:rPr>
      </w:pPr>
    </w:p>
    <w:p>
      <w:pPr>
        <w:spacing w:line="600" w:lineRule="exact"/>
        <w:jc w:val="center"/>
        <w:outlineLvl w:val="0"/>
        <w:rPr>
          <w:rFonts w:ascii="方正小标宋简体" w:hAnsi="宋体" w:eastAsia="方正小标宋简体"/>
          <w:sz w:val="72"/>
          <w:szCs w:val="72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方正小标宋简体" w:hAnsi="方正小标宋简体" w:eastAsia="方正小标宋简体" w:cs="方正小标宋简体"/>
          <w:sz w:val="72"/>
          <w:szCs w:val="72"/>
        </w:rPr>
      </w:pPr>
      <w:bookmarkStart w:id="1" w:name="_Toc15377425"/>
      <w:bookmarkStart w:id="2" w:name="_Toc15396597"/>
      <w:bookmarkStart w:id="3" w:name="_Toc15378441"/>
      <w:bookmarkStart w:id="4" w:name="_Toc15377193"/>
      <w:bookmarkStart w:id="5" w:name="_Toc15396475"/>
      <w:bookmarkStart w:id="6" w:name="_Toc147925686"/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2022年度</w:t>
      </w:r>
      <w:bookmarkEnd w:id="1"/>
      <w:bookmarkEnd w:id="2"/>
      <w:bookmarkEnd w:id="3"/>
      <w:bookmarkEnd w:id="4"/>
      <w:bookmarkEnd w:id="5"/>
      <w:bookmarkEnd w:id="6"/>
    </w:p>
    <w:p>
      <w:pPr>
        <w:adjustRightInd w:val="0"/>
        <w:snapToGrid w:val="0"/>
        <w:spacing w:line="360" w:lineRule="auto"/>
        <w:jc w:val="center"/>
        <w:outlineLvl w:val="0"/>
        <w:rPr>
          <w:rFonts w:ascii="方正小标宋简体" w:hAnsi="方正小标宋简体" w:eastAsia="方正小标宋简体" w:cs="方正小标宋简体"/>
          <w:sz w:val="72"/>
          <w:szCs w:val="72"/>
        </w:rPr>
      </w:pPr>
      <w:bookmarkStart w:id="7" w:name="_Toc147925687"/>
      <w:bookmarkStart w:id="8" w:name="_Toc15377426"/>
      <w:bookmarkStart w:id="9" w:name="_Toc15378442"/>
      <w:bookmarkStart w:id="10" w:name="_Toc15377194"/>
      <w:bookmarkStart w:id="11" w:name="_Toc15396476"/>
      <w:bookmarkStart w:id="12" w:name="_Toc15396598"/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剑阁县</w:t>
      </w:r>
      <w:bookmarkEnd w:id="0"/>
      <w:bookmarkStart w:id="13" w:name="_Toc15306268"/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樵店乡卫生院决算</w:t>
      </w:r>
      <w:bookmarkEnd w:id="7"/>
      <w:bookmarkEnd w:id="8"/>
      <w:bookmarkEnd w:id="9"/>
      <w:bookmarkEnd w:id="10"/>
      <w:bookmarkEnd w:id="11"/>
      <w:bookmarkEnd w:id="12"/>
      <w:bookmarkEnd w:id="13"/>
    </w:p>
    <w:p>
      <w:pPr>
        <w:widowControl/>
        <w:jc w:val="center"/>
        <w:rPr>
          <w:rFonts w:ascii="黑体" w:hAnsi="黑体" w:eastAsia="黑体"/>
          <w:sz w:val="48"/>
          <w:szCs w:val="48"/>
        </w:rPr>
      </w:pPr>
      <w:r>
        <w:rPr>
          <w:rFonts w:ascii="方正小标宋简体" w:hAnsi="宋体" w:eastAsia="方正小标宋简体"/>
          <w:sz w:val="36"/>
          <w:szCs w:val="36"/>
        </w:rPr>
        <w:br w:type="page"/>
      </w:r>
      <w:r>
        <w:rPr>
          <w:rFonts w:hint="eastAsia" w:ascii="黑体" w:hAnsi="黑体" w:eastAsia="黑体"/>
          <w:sz w:val="48"/>
          <w:szCs w:val="48"/>
        </w:rPr>
        <w:t>目录</w:t>
      </w:r>
    </w:p>
    <w:p>
      <w:pPr>
        <w:widowControl/>
        <w:jc w:val="center"/>
        <w:rPr>
          <w:rFonts w:ascii="黑体" w:hAnsi="黑体" w:eastAsia="黑体" w:cstheme="minorBidi"/>
          <w:sz w:val="28"/>
          <w:szCs w:val="28"/>
        </w:rPr>
      </w:pPr>
    </w:p>
    <w:p>
      <w:pPr>
        <w:pStyle w:val="13"/>
      </w:pPr>
      <w:r>
        <w:rPr>
          <w:rFonts w:hint="eastAsia"/>
        </w:rPr>
        <w:t>公开时间：2023年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29</w:t>
      </w:r>
      <w:r>
        <w:rPr>
          <w:rFonts w:hint="eastAsia"/>
        </w:rPr>
        <w:t>日</w:t>
      </w:r>
    </w:p>
    <w:p/>
    <w:sdt>
      <w:sdt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21"/>
          <w:szCs w:val="24"/>
          <w:lang w:val="zh-CN"/>
        </w:rPr>
        <w:id w:val="-1874201321"/>
        <w:docPartObj>
          <w:docPartGallery w:val="Table of Contents"/>
          <w:docPartUnique/>
        </w:docPartObj>
      </w:sdtPr>
      <w:sdtEnd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21"/>
          <w:szCs w:val="24"/>
          <w:lang w:val="en-US"/>
        </w:rPr>
      </w:sdtEndPr>
      <w:sdtContent>
        <w:p>
          <w:pPr>
            <w:pStyle w:val="36"/>
          </w:pPr>
          <w:bookmarkStart w:id="110" w:name="_GoBack"/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>
          <w:pPr>
            <w:pStyle w:val="13"/>
            <w:rPr>
              <w:rFonts w:asciiTheme="minorHAnsi" w:hAnsiTheme="minorHAnsi" w:eastAsiaTheme="minorEastAsia" w:cstheme="minorBidi"/>
              <w:sz w:val="21"/>
              <w:szCs w:val="22"/>
            </w:rPr>
          </w:pPr>
          <w:r>
            <w:fldChar w:fldCharType="begin"/>
          </w:r>
          <w:r>
            <w:instrText xml:space="preserve"> HYPERLINK \l "_Toc147925688" </w:instrText>
          </w:r>
          <w:r>
            <w:fldChar w:fldCharType="separate"/>
          </w:r>
          <w:r>
            <w:rPr>
              <w:rStyle w:val="20"/>
              <w:rFonts w:hint="eastAsia" w:ascii="黑体" w:hAnsi="黑体" w:eastAsia="黑体"/>
            </w:rPr>
            <w:t>第一部分</w:t>
          </w:r>
          <w:r>
            <w:rPr>
              <w:rStyle w:val="20"/>
              <w:rFonts w:ascii="黑体" w:hAnsi="黑体" w:eastAsia="黑体"/>
            </w:rPr>
            <w:t xml:space="preserve"> </w:t>
          </w:r>
          <w:r>
            <w:rPr>
              <w:rStyle w:val="20"/>
              <w:rFonts w:hint="eastAsia" w:ascii="黑体" w:hAnsi="黑体" w:eastAsia="黑体"/>
            </w:rPr>
            <w:t>单位概况</w:t>
          </w:r>
          <w:r>
            <w:tab/>
          </w:r>
          <w:r>
            <w:fldChar w:fldCharType="begin"/>
          </w:r>
          <w:r>
            <w:instrText xml:space="preserve"> PAGEREF _Toc147925688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4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"_Toc147925689" </w:instrText>
          </w:r>
          <w:r>
            <w:fldChar w:fldCharType="separate"/>
          </w:r>
          <w:r>
            <w:rPr>
              <w:rStyle w:val="20"/>
              <w:rFonts w:hint="eastAsia" w:ascii="黑体" w:hAnsi="黑体" w:eastAsia="黑体"/>
            </w:rPr>
            <w:t>一、 主要职责</w:t>
          </w:r>
          <w:r>
            <w:tab/>
          </w:r>
          <w:r>
            <w:fldChar w:fldCharType="begin"/>
          </w:r>
          <w:r>
            <w:instrText xml:space="preserve"> PAGEREF _Toc147925689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4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"_Toc147925690" </w:instrText>
          </w:r>
          <w:r>
            <w:fldChar w:fldCharType="separate"/>
          </w:r>
          <w:r>
            <w:rPr>
              <w:rStyle w:val="20"/>
              <w:rFonts w:hint="eastAsia" w:ascii="黑体" w:hAnsi="黑体" w:eastAsia="黑体"/>
            </w:rPr>
            <w:t>二、机构设置</w:t>
          </w:r>
          <w:r>
            <w:tab/>
          </w:r>
          <w:r>
            <w:fldChar w:fldCharType="begin"/>
          </w:r>
          <w:r>
            <w:instrText xml:space="preserve"> PAGEREF _Toc147925690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3"/>
            <w:rPr>
              <w:rFonts w:asciiTheme="minorHAnsi" w:hAnsiTheme="minorHAnsi" w:eastAsiaTheme="minorEastAsia" w:cstheme="minorBidi"/>
              <w:sz w:val="21"/>
              <w:szCs w:val="22"/>
            </w:rPr>
          </w:pPr>
          <w:r>
            <w:fldChar w:fldCharType="begin"/>
          </w:r>
          <w:r>
            <w:instrText xml:space="preserve"> HYPERLINK \l "_Toc147925691" </w:instrText>
          </w:r>
          <w:r>
            <w:fldChar w:fldCharType="separate"/>
          </w:r>
          <w:r>
            <w:rPr>
              <w:rStyle w:val="20"/>
              <w:rFonts w:hint="eastAsia" w:ascii="黑体" w:hAnsi="黑体" w:eastAsia="黑体"/>
            </w:rPr>
            <w:t>第二部分</w:t>
          </w:r>
          <w:r>
            <w:rPr>
              <w:rStyle w:val="20"/>
              <w:rFonts w:ascii="黑体" w:hAnsi="黑体" w:eastAsia="黑体"/>
            </w:rPr>
            <w:t xml:space="preserve"> 2022</w:t>
          </w:r>
          <w:r>
            <w:rPr>
              <w:rStyle w:val="20"/>
              <w:rFonts w:hint="eastAsia" w:ascii="黑体" w:hAnsi="黑体" w:eastAsia="黑体"/>
            </w:rPr>
            <w:t>年度单位决算情况说明</w:t>
          </w:r>
          <w:r>
            <w:tab/>
          </w:r>
          <w:r>
            <w:fldChar w:fldCharType="begin"/>
          </w:r>
          <w:r>
            <w:instrText xml:space="preserve"> PAGEREF _Toc147925691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left" w:pos="1260"/>
            </w:tabs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"_Toc147925692" </w:instrText>
          </w:r>
          <w:r>
            <w:fldChar w:fldCharType="separate"/>
          </w:r>
          <w:r>
            <w:rPr>
              <w:rStyle w:val="20"/>
              <w:rFonts w:hint="eastAsia" w:ascii="黑体" w:hAnsi="黑体" w:eastAsia="黑体" w:cstheme="majorBidi"/>
              <w:bCs/>
            </w:rPr>
            <w:t>一、</w:t>
          </w:r>
          <w:r>
            <w:rPr>
              <w:rFonts w:asciiTheme="minorHAnsi" w:hAnsiTheme="minorHAnsi" w:eastAsiaTheme="minorEastAsia" w:cstheme="minorBidi"/>
              <w:szCs w:val="22"/>
            </w:rPr>
            <w:tab/>
          </w:r>
          <w:r>
            <w:rPr>
              <w:rStyle w:val="20"/>
              <w:rFonts w:hint="eastAsia" w:ascii="黑体" w:hAnsi="黑体" w:eastAsia="黑体"/>
            </w:rPr>
            <w:t>收</w:t>
          </w:r>
          <w:r>
            <w:rPr>
              <w:rStyle w:val="20"/>
              <w:rFonts w:hint="eastAsia" w:ascii="黑体" w:hAnsi="黑体" w:eastAsia="黑体" w:cstheme="majorBidi"/>
              <w:bCs/>
            </w:rPr>
            <w:t>入支出决算总体情况说明</w:t>
          </w:r>
          <w:r>
            <w:tab/>
          </w:r>
          <w:r>
            <w:fldChar w:fldCharType="begin"/>
          </w:r>
          <w:r>
            <w:instrText xml:space="preserve"> PAGEREF _Toc147925692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left" w:pos="1260"/>
            </w:tabs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"_Toc147925693" </w:instrText>
          </w:r>
          <w:r>
            <w:fldChar w:fldCharType="separate"/>
          </w:r>
          <w:r>
            <w:rPr>
              <w:rStyle w:val="20"/>
              <w:rFonts w:hint="eastAsia" w:ascii="黑体" w:hAnsi="黑体" w:eastAsia="黑体" w:cstheme="majorBidi"/>
              <w:bCs/>
            </w:rPr>
            <w:t>二、</w:t>
          </w:r>
          <w:r>
            <w:rPr>
              <w:rFonts w:asciiTheme="minorHAnsi" w:hAnsiTheme="minorHAnsi" w:eastAsiaTheme="minorEastAsia" w:cstheme="minorBidi"/>
              <w:szCs w:val="22"/>
            </w:rPr>
            <w:tab/>
          </w:r>
          <w:r>
            <w:rPr>
              <w:rStyle w:val="20"/>
              <w:rFonts w:hint="eastAsia" w:ascii="黑体" w:hAnsi="黑体" w:eastAsia="黑体"/>
            </w:rPr>
            <w:t>收</w:t>
          </w:r>
          <w:r>
            <w:rPr>
              <w:rStyle w:val="20"/>
              <w:rFonts w:hint="eastAsia" w:ascii="黑体" w:hAnsi="黑体" w:eastAsia="黑体" w:cstheme="majorBidi"/>
              <w:bCs/>
            </w:rPr>
            <w:t>入决算情况说明</w:t>
          </w:r>
          <w:r>
            <w:tab/>
          </w:r>
          <w:r>
            <w:fldChar w:fldCharType="begin"/>
          </w:r>
          <w:r>
            <w:instrText xml:space="preserve"> PAGEREF _Toc147925693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left" w:pos="1260"/>
            </w:tabs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"_Toc147925696" </w:instrText>
          </w:r>
          <w:r>
            <w:fldChar w:fldCharType="separate"/>
          </w:r>
          <w:r>
            <w:rPr>
              <w:rStyle w:val="20"/>
              <w:rFonts w:hint="eastAsia" w:ascii="黑体" w:hAnsi="黑体" w:eastAsia="黑体" w:cstheme="majorBidi"/>
              <w:bCs/>
            </w:rPr>
            <w:t>三、</w:t>
          </w:r>
          <w:r>
            <w:rPr>
              <w:rFonts w:asciiTheme="minorHAnsi" w:hAnsiTheme="minorHAnsi" w:eastAsiaTheme="minorEastAsia" w:cstheme="minorBidi"/>
              <w:szCs w:val="22"/>
            </w:rPr>
            <w:tab/>
          </w:r>
          <w:r>
            <w:rPr>
              <w:rStyle w:val="20"/>
              <w:rFonts w:hint="eastAsia" w:ascii="黑体" w:hAnsi="黑体" w:eastAsia="黑体"/>
            </w:rPr>
            <w:t>支</w:t>
          </w:r>
          <w:r>
            <w:rPr>
              <w:rStyle w:val="20"/>
              <w:rFonts w:hint="eastAsia" w:ascii="黑体" w:hAnsi="黑体" w:eastAsia="黑体" w:cstheme="majorBidi"/>
              <w:bCs/>
            </w:rPr>
            <w:t>出决算情况说明</w:t>
          </w:r>
          <w:r>
            <w:tab/>
          </w:r>
          <w:r>
            <w:fldChar w:fldCharType="begin"/>
          </w:r>
          <w:r>
            <w:instrText xml:space="preserve"> PAGEREF _Toc147925696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4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"_Toc147925699" </w:instrText>
          </w:r>
          <w:r>
            <w:fldChar w:fldCharType="separate"/>
          </w:r>
          <w:r>
            <w:rPr>
              <w:rStyle w:val="20"/>
              <w:rFonts w:hint="eastAsia" w:ascii="黑体" w:hAnsi="黑体" w:eastAsia="黑体"/>
            </w:rPr>
            <w:t>四、财</w:t>
          </w:r>
          <w:r>
            <w:rPr>
              <w:rStyle w:val="20"/>
              <w:rFonts w:hint="eastAsia" w:ascii="黑体" w:hAnsi="黑体" w:eastAsia="黑体" w:cstheme="majorBidi"/>
              <w:bCs/>
            </w:rPr>
            <w:t>政拨款收入支出决算总体情况说明</w:t>
          </w:r>
          <w:r>
            <w:tab/>
          </w:r>
          <w:r>
            <w:fldChar w:fldCharType="begin"/>
          </w:r>
          <w:r>
            <w:instrText xml:space="preserve"> PAGEREF _Toc147925699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4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"_Toc147925700" </w:instrText>
          </w:r>
          <w:r>
            <w:fldChar w:fldCharType="separate"/>
          </w:r>
          <w:r>
            <w:rPr>
              <w:rStyle w:val="20"/>
              <w:rFonts w:hint="eastAsia" w:ascii="黑体" w:hAnsi="黑体" w:eastAsia="黑体"/>
            </w:rPr>
            <w:t>五、</w:t>
          </w:r>
          <w:r>
            <w:rPr>
              <w:rStyle w:val="20"/>
              <w:rFonts w:hint="eastAsia" w:ascii="黑体" w:hAnsi="黑体" w:eastAsia="黑体"/>
              <w:b/>
            </w:rPr>
            <w:t>一</w:t>
          </w:r>
          <w:r>
            <w:rPr>
              <w:rStyle w:val="20"/>
              <w:rFonts w:hint="eastAsia" w:ascii="黑体" w:hAnsi="黑体" w:eastAsia="黑体" w:cstheme="majorBidi"/>
              <w:bCs/>
            </w:rPr>
            <w:t>般公共预算财政拨款支出决算情况说明</w:t>
          </w:r>
          <w:r>
            <w:tab/>
          </w:r>
          <w:r>
            <w:fldChar w:fldCharType="begin"/>
          </w:r>
          <w:r>
            <w:instrText xml:space="preserve"> PAGEREF _Toc147925700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8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"_Toc147925701" </w:instrText>
          </w:r>
          <w:r>
            <w:fldChar w:fldCharType="separate"/>
          </w:r>
          <w:r>
            <w:rPr>
              <w:rStyle w:val="20"/>
              <w:rFonts w:hint="eastAsia" w:ascii="仿宋" w:hAnsi="仿宋" w:eastAsia="仿宋"/>
              <w:b/>
            </w:rPr>
            <w:t>（一）一般公共预算财政拨款支出决算总体情况</w:t>
          </w:r>
          <w:r>
            <w:tab/>
          </w:r>
          <w:r>
            <w:fldChar w:fldCharType="begin"/>
          </w:r>
          <w:r>
            <w:instrText xml:space="preserve"> PAGEREF _Toc147925701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8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"_Toc147925702" </w:instrText>
          </w:r>
          <w:r>
            <w:fldChar w:fldCharType="separate"/>
          </w:r>
          <w:r>
            <w:rPr>
              <w:rStyle w:val="20"/>
              <w:rFonts w:hint="eastAsia" w:ascii="仿宋" w:hAnsi="仿宋" w:eastAsia="仿宋"/>
              <w:b/>
            </w:rPr>
            <w:t>（二）一般公共预算财政拨款支出决算结构情况</w:t>
          </w:r>
          <w:r>
            <w:tab/>
          </w:r>
          <w:r>
            <w:fldChar w:fldCharType="begin"/>
          </w:r>
          <w:r>
            <w:instrText xml:space="preserve"> PAGEREF _Toc147925702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8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"_Toc147925703" </w:instrText>
          </w:r>
          <w:r>
            <w:fldChar w:fldCharType="separate"/>
          </w:r>
          <w:r>
            <w:rPr>
              <w:rStyle w:val="20"/>
              <w:rFonts w:hint="eastAsia" w:ascii="仿宋" w:hAnsi="仿宋" w:eastAsia="仿宋"/>
              <w:b/>
            </w:rPr>
            <w:t>（三）一般公共预算财政拨款支出决算具体情况</w:t>
          </w:r>
          <w:r>
            <w:tab/>
          </w:r>
          <w:r>
            <w:fldChar w:fldCharType="begin"/>
          </w:r>
          <w:r>
            <w:instrText xml:space="preserve"> PAGEREF _Toc147925703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4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"_Toc147925705" </w:instrText>
          </w:r>
          <w:r>
            <w:fldChar w:fldCharType="separate"/>
          </w:r>
          <w:r>
            <w:rPr>
              <w:rStyle w:val="20"/>
              <w:rFonts w:hint="eastAsia" w:ascii="黑体" w:eastAsia="黑体"/>
            </w:rPr>
            <w:t>六</w:t>
          </w:r>
          <w:r>
            <w:rPr>
              <w:rStyle w:val="20"/>
              <w:rFonts w:hint="eastAsia" w:ascii="黑体" w:eastAsia="黑体"/>
              <w:b/>
            </w:rPr>
            <w:t>、</w:t>
          </w:r>
          <w:r>
            <w:rPr>
              <w:rStyle w:val="20"/>
              <w:rFonts w:hint="eastAsia" w:ascii="黑体" w:hAnsi="黑体" w:eastAsia="黑体"/>
              <w:b/>
            </w:rPr>
            <w:t>一</w:t>
          </w:r>
          <w:r>
            <w:rPr>
              <w:rStyle w:val="20"/>
              <w:rFonts w:hint="eastAsia" w:ascii="黑体" w:hAnsi="黑体" w:eastAsia="黑体" w:cstheme="majorBidi"/>
              <w:bCs/>
            </w:rPr>
            <w:t>般公共预算财政拨款基本支出决算情况说明</w:t>
          </w:r>
          <w:r>
            <w:tab/>
          </w:r>
          <w:r>
            <w:fldChar w:fldCharType="begin"/>
          </w:r>
          <w:r>
            <w:instrText xml:space="preserve"> PAGEREF _Toc147925705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4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"_Toc147925706" </w:instrText>
          </w:r>
          <w:r>
            <w:fldChar w:fldCharType="separate"/>
          </w:r>
          <w:r>
            <w:rPr>
              <w:rStyle w:val="20"/>
              <w:rFonts w:hint="eastAsia" w:ascii="黑体" w:eastAsia="黑体"/>
            </w:rPr>
            <w:t>七、</w:t>
          </w:r>
          <w:r>
            <w:rPr>
              <w:rStyle w:val="20"/>
              <w:rFonts w:hint="eastAsia" w:ascii="黑体" w:hAnsi="黑体" w:eastAsia="黑体" w:cstheme="majorBidi"/>
              <w:bCs/>
            </w:rPr>
            <w:t>财政拨款</w:t>
          </w:r>
          <w:r>
            <w:rPr>
              <w:rStyle w:val="20"/>
              <w:rFonts w:ascii="黑体" w:hAnsi="黑体" w:eastAsia="黑体" w:cstheme="majorBidi"/>
              <w:b/>
              <w:bCs/>
            </w:rPr>
            <w:t>“</w:t>
          </w:r>
          <w:r>
            <w:rPr>
              <w:rStyle w:val="20"/>
              <w:rFonts w:hint="eastAsia" w:ascii="黑体" w:hAnsi="黑体" w:eastAsia="黑体" w:cstheme="majorBidi"/>
              <w:bCs/>
            </w:rPr>
            <w:t>三公”经费支出决算情况说明</w:t>
          </w:r>
          <w:r>
            <w:tab/>
          </w:r>
          <w:r>
            <w:fldChar w:fldCharType="begin"/>
          </w:r>
          <w:r>
            <w:instrText xml:space="preserve"> PAGEREF _Toc147925706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8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"_Toc147925707" </w:instrText>
          </w:r>
          <w:r>
            <w:fldChar w:fldCharType="separate"/>
          </w:r>
          <w:r>
            <w:rPr>
              <w:rStyle w:val="20"/>
              <w:rFonts w:hint="eastAsia" w:ascii="仿宋" w:hAnsi="仿宋" w:eastAsia="仿宋"/>
              <w:b/>
            </w:rPr>
            <w:t>（一）“三公”经费财政拨款支出决算总体情况说明</w:t>
          </w:r>
          <w:r>
            <w:tab/>
          </w:r>
          <w:r>
            <w:fldChar w:fldCharType="begin"/>
          </w:r>
          <w:r>
            <w:instrText xml:space="preserve"> PAGEREF _Toc147925707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8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"_Toc147925708" </w:instrText>
          </w:r>
          <w:r>
            <w:fldChar w:fldCharType="separate"/>
          </w:r>
          <w:r>
            <w:rPr>
              <w:rStyle w:val="20"/>
              <w:rFonts w:hint="eastAsia" w:ascii="仿宋" w:hAnsi="仿宋" w:eastAsia="仿宋"/>
              <w:b/>
            </w:rPr>
            <w:t>（二）“三公”经费财政拨款支出决算具体情况说明</w:t>
          </w:r>
          <w:r>
            <w:tab/>
          </w:r>
          <w:r>
            <w:fldChar w:fldCharType="begin"/>
          </w:r>
          <w:r>
            <w:instrText xml:space="preserve"> PAGEREF _Toc147925708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14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"_Toc147925709" </w:instrText>
          </w:r>
          <w:r>
            <w:fldChar w:fldCharType="separate"/>
          </w:r>
          <w:r>
            <w:rPr>
              <w:rStyle w:val="20"/>
              <w:rFonts w:hint="eastAsia" w:ascii="黑体" w:eastAsia="黑体"/>
            </w:rPr>
            <w:t>八、</w:t>
          </w:r>
          <w:r>
            <w:rPr>
              <w:rStyle w:val="20"/>
              <w:rFonts w:hint="eastAsia" w:ascii="黑体" w:hAnsi="黑体" w:eastAsia="黑体" w:cstheme="majorBidi"/>
              <w:bCs/>
            </w:rPr>
            <w:t>政府性基金预算支出决算情况说明</w:t>
          </w:r>
          <w:r>
            <w:tab/>
          </w:r>
          <w:r>
            <w:fldChar w:fldCharType="begin"/>
          </w:r>
          <w:r>
            <w:instrText xml:space="preserve"> PAGEREF _Toc147925709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14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"_Toc147925710" </w:instrText>
          </w:r>
          <w:r>
            <w:fldChar w:fldCharType="separate"/>
          </w:r>
          <w:r>
            <w:rPr>
              <w:rStyle w:val="20"/>
              <w:rFonts w:hint="eastAsia" w:ascii="黑体" w:hAnsi="黑体" w:eastAsia="黑体" w:cstheme="majorBidi"/>
              <w:bCs/>
            </w:rPr>
            <w:t>九、 国有资本经营预算支出决算情况说明</w:t>
          </w:r>
          <w:r>
            <w:tab/>
          </w:r>
          <w:r>
            <w:fldChar w:fldCharType="begin"/>
          </w:r>
          <w:r>
            <w:instrText xml:space="preserve"> PAGEREF _Toc147925710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14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"_Toc147925711" </w:instrText>
          </w:r>
          <w:r>
            <w:fldChar w:fldCharType="separate"/>
          </w:r>
          <w:r>
            <w:rPr>
              <w:rStyle w:val="20"/>
              <w:rFonts w:hint="eastAsia" w:ascii="黑体" w:hAnsi="黑体" w:eastAsia="黑体" w:cstheme="majorBidi"/>
              <w:bCs/>
            </w:rPr>
            <w:t>十、 其他重要事项的情况说明</w:t>
          </w:r>
          <w:r>
            <w:tab/>
          </w:r>
          <w:r>
            <w:fldChar w:fldCharType="begin"/>
          </w:r>
          <w:r>
            <w:instrText xml:space="preserve"> PAGEREF _Toc147925711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8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"_Toc147925712" </w:instrText>
          </w:r>
          <w:r>
            <w:fldChar w:fldCharType="separate"/>
          </w:r>
          <w:r>
            <w:rPr>
              <w:rStyle w:val="20"/>
              <w:rFonts w:hint="eastAsia" w:ascii="仿宋" w:hAnsi="仿宋" w:eastAsia="仿宋"/>
              <w:b/>
            </w:rPr>
            <w:t>（一）机关运行经费支出情况</w:t>
          </w:r>
          <w:r>
            <w:tab/>
          </w:r>
          <w:r>
            <w:fldChar w:fldCharType="begin"/>
          </w:r>
          <w:r>
            <w:instrText xml:space="preserve"> PAGEREF _Toc147925712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8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"_Toc147925713" </w:instrText>
          </w:r>
          <w:r>
            <w:fldChar w:fldCharType="separate"/>
          </w:r>
          <w:r>
            <w:rPr>
              <w:rStyle w:val="20"/>
              <w:rFonts w:hint="eastAsia" w:ascii="仿宋" w:hAnsi="仿宋" w:eastAsia="仿宋"/>
              <w:b/>
            </w:rPr>
            <w:t>（二）政府采购支出情况</w:t>
          </w:r>
          <w:r>
            <w:tab/>
          </w:r>
          <w:r>
            <w:fldChar w:fldCharType="begin"/>
          </w:r>
          <w:r>
            <w:instrText xml:space="preserve"> PAGEREF _Toc147925713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8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"_Toc147925714" </w:instrText>
          </w:r>
          <w:r>
            <w:fldChar w:fldCharType="separate"/>
          </w:r>
          <w:r>
            <w:rPr>
              <w:rStyle w:val="20"/>
              <w:rFonts w:hint="eastAsia" w:ascii="仿宋" w:hAnsi="仿宋" w:eastAsia="仿宋"/>
              <w:b/>
            </w:rPr>
            <w:t>（三）国有资产占有使用情况</w:t>
          </w:r>
          <w:r>
            <w:tab/>
          </w:r>
          <w:r>
            <w:fldChar w:fldCharType="begin"/>
          </w:r>
          <w:r>
            <w:instrText xml:space="preserve"> PAGEREF _Toc147925714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8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"_Toc147925715" </w:instrText>
          </w:r>
          <w:r>
            <w:fldChar w:fldCharType="separate"/>
          </w:r>
          <w:r>
            <w:rPr>
              <w:rStyle w:val="20"/>
              <w:rFonts w:hint="eastAsia" w:ascii="仿宋" w:hAnsi="仿宋" w:eastAsia="仿宋"/>
              <w:b/>
            </w:rPr>
            <w:t>（四）预算绩效管理情况</w:t>
          </w:r>
          <w:r>
            <w:tab/>
          </w:r>
          <w:r>
            <w:fldChar w:fldCharType="begin"/>
          </w:r>
          <w:r>
            <w:instrText xml:space="preserve"> PAGEREF _Toc147925715 \h </w:instrText>
          </w:r>
          <w:r>
            <w:fldChar w:fldCharType="separate"/>
          </w:r>
          <w:r>
            <w:rPr>
              <w:b/>
            </w:rPr>
            <w:t>错误！未定义书签。</w:t>
          </w:r>
          <w:r>
            <w:fldChar w:fldCharType="end"/>
          </w:r>
          <w:r>
            <w:fldChar w:fldCharType="end"/>
          </w:r>
        </w:p>
        <w:p>
          <w:pPr>
            <w:pStyle w:val="13"/>
            <w:rPr>
              <w:rFonts w:asciiTheme="minorHAnsi" w:hAnsiTheme="minorHAnsi" w:eastAsiaTheme="minorEastAsia" w:cstheme="minorBidi"/>
              <w:sz w:val="21"/>
              <w:szCs w:val="22"/>
            </w:rPr>
          </w:pPr>
          <w:r>
            <w:fldChar w:fldCharType="begin"/>
          </w:r>
          <w:r>
            <w:instrText xml:space="preserve"> HYPERLINK \l "_Toc147925716" </w:instrText>
          </w:r>
          <w:r>
            <w:fldChar w:fldCharType="separate"/>
          </w:r>
          <w:r>
            <w:rPr>
              <w:rStyle w:val="20"/>
              <w:rFonts w:hint="eastAsia" w:ascii="黑体" w:hAnsi="黑体" w:eastAsia="黑体" w:cs="黑体"/>
              <w:bCs/>
              <w:kern w:val="44"/>
            </w:rPr>
            <w:t>第三部分</w:t>
          </w:r>
          <w:r>
            <w:rPr>
              <w:rStyle w:val="20"/>
              <w:rFonts w:hint="eastAsia" w:ascii="黑体" w:hAnsi="黑体" w:eastAsia="黑体"/>
            </w:rPr>
            <w:t xml:space="preserve"> 名</w:t>
          </w:r>
          <w:r>
            <w:rPr>
              <w:rStyle w:val="20"/>
              <w:rFonts w:hint="eastAsia" w:ascii="黑体" w:hAnsi="黑体" w:eastAsia="黑体"/>
              <w:bCs/>
              <w:kern w:val="44"/>
            </w:rPr>
            <w:t>词解释</w:t>
          </w:r>
          <w:r>
            <w:tab/>
          </w:r>
          <w:r>
            <w:fldChar w:fldCharType="begin"/>
          </w:r>
          <w:r>
            <w:instrText xml:space="preserve"> PAGEREF _Toc147925716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13"/>
            <w:rPr>
              <w:rFonts w:asciiTheme="minorHAnsi" w:hAnsiTheme="minorHAnsi" w:eastAsiaTheme="minorEastAsia" w:cstheme="minorBidi"/>
              <w:sz w:val="21"/>
              <w:szCs w:val="22"/>
            </w:rPr>
          </w:pPr>
          <w:r>
            <w:fldChar w:fldCharType="begin"/>
          </w:r>
          <w:r>
            <w:instrText xml:space="preserve"> HYPERLINK \l "_Toc147925717" </w:instrText>
          </w:r>
          <w:r>
            <w:fldChar w:fldCharType="separate"/>
          </w:r>
          <w:r>
            <w:rPr>
              <w:rStyle w:val="20"/>
              <w:rFonts w:hint="eastAsia" w:ascii="黑体" w:hAnsi="黑体" w:eastAsia="黑体"/>
            </w:rPr>
            <w:t>第</w:t>
          </w:r>
          <w:r>
            <w:rPr>
              <w:rStyle w:val="20"/>
              <w:rFonts w:hint="eastAsia" w:ascii="黑体" w:hAnsi="黑体" w:eastAsia="黑体"/>
              <w:bCs/>
              <w:kern w:val="44"/>
            </w:rPr>
            <w:t>四部分</w:t>
          </w:r>
          <w:r>
            <w:rPr>
              <w:rStyle w:val="20"/>
              <w:rFonts w:ascii="黑体" w:hAnsi="黑体" w:eastAsia="黑体"/>
              <w:bCs/>
              <w:kern w:val="44"/>
            </w:rPr>
            <w:t xml:space="preserve"> </w:t>
          </w:r>
          <w:r>
            <w:rPr>
              <w:rStyle w:val="20"/>
              <w:rFonts w:hint="eastAsia" w:ascii="黑体" w:hAnsi="黑体" w:eastAsia="黑体"/>
              <w:bCs/>
              <w:kern w:val="44"/>
            </w:rPr>
            <w:t>附件</w:t>
          </w:r>
          <w:r>
            <w:tab/>
          </w:r>
          <w:r>
            <w:fldChar w:fldCharType="begin"/>
          </w:r>
          <w:r>
            <w:instrText xml:space="preserve"> PAGEREF _Toc147925717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13"/>
            <w:rPr>
              <w:rFonts w:asciiTheme="minorHAnsi" w:hAnsiTheme="minorHAnsi" w:eastAsiaTheme="minorEastAsia" w:cstheme="minorBidi"/>
              <w:sz w:val="21"/>
              <w:szCs w:val="22"/>
            </w:rPr>
          </w:pPr>
          <w:r>
            <w:fldChar w:fldCharType="begin"/>
          </w:r>
          <w:r>
            <w:instrText xml:space="preserve"> HYPERLINK \l "_Toc147925718" </w:instrText>
          </w:r>
          <w:r>
            <w:fldChar w:fldCharType="separate"/>
          </w:r>
          <w:r>
            <w:rPr>
              <w:rStyle w:val="20"/>
              <w:rFonts w:hint="eastAsia" w:ascii="宋体" w:hAnsi="宋体" w:cs="宋体"/>
              <w:kern w:val="0"/>
            </w:rPr>
            <w:t>部门自评表（</w:t>
          </w:r>
          <w:r>
            <w:rPr>
              <w:rStyle w:val="20"/>
              <w:rFonts w:ascii="宋体" w:hAnsi="宋体" w:cs="宋体"/>
              <w:kern w:val="0"/>
            </w:rPr>
            <w:t>2022</w:t>
          </w:r>
          <w:r>
            <w:rPr>
              <w:rStyle w:val="20"/>
              <w:rFonts w:hint="eastAsia" w:ascii="宋体" w:hAnsi="宋体" w:cs="宋体"/>
              <w:kern w:val="0"/>
            </w:rPr>
            <w:t>年度）</w:t>
          </w:r>
          <w:r>
            <w:tab/>
          </w:r>
          <w:r>
            <w:fldChar w:fldCharType="begin"/>
          </w:r>
          <w:r>
            <w:instrText xml:space="preserve"> PAGEREF _Toc147925718 \h </w:instrText>
          </w:r>
          <w:r>
            <w:fldChar w:fldCharType="separate"/>
          </w:r>
          <w:r>
            <w:rPr>
              <w:b/>
            </w:rPr>
            <w:t>错误！未定义书签。</w:t>
          </w:r>
          <w:r>
            <w:fldChar w:fldCharType="end"/>
          </w:r>
          <w:r>
            <w:fldChar w:fldCharType="end"/>
          </w:r>
        </w:p>
        <w:p>
          <w:pPr>
            <w:pStyle w:val="13"/>
            <w:rPr>
              <w:rFonts w:asciiTheme="minorHAnsi" w:hAnsiTheme="minorHAnsi" w:eastAsiaTheme="minorEastAsia" w:cstheme="minorBidi"/>
              <w:sz w:val="21"/>
              <w:szCs w:val="22"/>
            </w:rPr>
          </w:pPr>
          <w:r>
            <w:fldChar w:fldCharType="begin"/>
          </w:r>
          <w:r>
            <w:instrText xml:space="preserve"> HYPERLINK \l "_Toc147925721" </w:instrText>
          </w:r>
          <w:r>
            <w:fldChar w:fldCharType="separate"/>
          </w:r>
          <w:r>
            <w:rPr>
              <w:rStyle w:val="20"/>
              <w:rFonts w:hint="eastAsia" w:ascii="黑体" w:hAnsi="黑体" w:eastAsia="黑体"/>
            </w:rPr>
            <w:t>第</w:t>
          </w:r>
          <w:r>
            <w:rPr>
              <w:rStyle w:val="20"/>
              <w:rFonts w:hint="eastAsia" w:ascii="黑体" w:hAnsi="黑体" w:eastAsia="黑体"/>
              <w:bCs/>
              <w:kern w:val="44"/>
            </w:rPr>
            <w:t>五部分</w:t>
          </w:r>
          <w:r>
            <w:rPr>
              <w:rStyle w:val="20"/>
              <w:rFonts w:ascii="黑体" w:hAnsi="黑体" w:eastAsia="黑体"/>
              <w:bCs/>
              <w:kern w:val="44"/>
            </w:rPr>
            <w:t xml:space="preserve"> </w:t>
          </w:r>
          <w:r>
            <w:rPr>
              <w:rStyle w:val="20"/>
              <w:rFonts w:hint="eastAsia" w:ascii="黑体" w:hAnsi="黑体" w:eastAsia="黑体"/>
              <w:bCs/>
              <w:kern w:val="44"/>
            </w:rPr>
            <w:t>附表</w:t>
          </w:r>
          <w:r>
            <w:tab/>
          </w:r>
          <w:r>
            <w:fldChar w:fldCharType="begin"/>
          </w:r>
          <w:r>
            <w:instrText xml:space="preserve"> PAGEREF _Toc147925721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4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"_Toc147925722" </w:instrText>
          </w:r>
          <w:r>
            <w:fldChar w:fldCharType="separate"/>
          </w:r>
          <w:r>
            <w:rPr>
              <w:rStyle w:val="20"/>
              <w:rFonts w:hint="eastAsia" w:ascii="仿宋" w:hAnsi="仿宋" w:eastAsia="仿宋"/>
            </w:rPr>
            <w:t>一、收入支出决算总表</w:t>
          </w:r>
          <w:r>
            <w:tab/>
          </w:r>
          <w:r>
            <w:fldChar w:fldCharType="begin"/>
          </w:r>
          <w:r>
            <w:instrText xml:space="preserve"> PAGEREF _Toc147925722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4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"_Toc147925723" </w:instrText>
          </w:r>
          <w:r>
            <w:fldChar w:fldCharType="separate"/>
          </w:r>
          <w:r>
            <w:rPr>
              <w:rStyle w:val="20"/>
              <w:rFonts w:hint="eastAsia" w:ascii="仿宋" w:hAnsi="仿宋" w:eastAsia="仿宋"/>
            </w:rPr>
            <w:t>二、收入决算表</w:t>
          </w:r>
          <w:r>
            <w:tab/>
          </w:r>
          <w:r>
            <w:fldChar w:fldCharType="begin"/>
          </w:r>
          <w:r>
            <w:instrText xml:space="preserve"> PAGEREF _Toc147925723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4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"_Toc147925724" </w:instrText>
          </w:r>
          <w:r>
            <w:fldChar w:fldCharType="separate"/>
          </w:r>
          <w:r>
            <w:rPr>
              <w:rStyle w:val="20"/>
              <w:rFonts w:hint="eastAsia" w:ascii="仿宋" w:hAnsi="仿宋" w:eastAsia="仿宋"/>
            </w:rPr>
            <w:t>三、支出决算表</w:t>
          </w:r>
          <w:r>
            <w:tab/>
          </w:r>
          <w:r>
            <w:fldChar w:fldCharType="begin"/>
          </w:r>
          <w:r>
            <w:instrText xml:space="preserve"> PAGEREF _Toc147925724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4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"_Toc147925725" </w:instrText>
          </w:r>
          <w:r>
            <w:fldChar w:fldCharType="separate"/>
          </w:r>
          <w:r>
            <w:rPr>
              <w:rStyle w:val="20"/>
              <w:rFonts w:hint="eastAsia" w:ascii="仿宋" w:hAnsi="仿宋" w:eastAsia="仿宋"/>
            </w:rPr>
            <w:t>四、财政拨款收入支出决算总表</w:t>
          </w:r>
          <w:r>
            <w:tab/>
          </w:r>
          <w:r>
            <w:fldChar w:fldCharType="begin"/>
          </w:r>
          <w:r>
            <w:instrText xml:space="preserve"> PAGEREF _Toc147925725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4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"_Toc147925726" </w:instrText>
          </w:r>
          <w:r>
            <w:fldChar w:fldCharType="separate"/>
          </w:r>
          <w:r>
            <w:rPr>
              <w:rStyle w:val="20"/>
              <w:rFonts w:hint="eastAsia" w:ascii="仿宋" w:hAnsi="仿宋" w:eastAsia="仿宋"/>
            </w:rPr>
            <w:t>五、财政拨款支出决算明细表</w:t>
          </w:r>
          <w:r>
            <w:tab/>
          </w:r>
          <w:r>
            <w:fldChar w:fldCharType="begin"/>
          </w:r>
          <w:r>
            <w:instrText xml:space="preserve"> PAGEREF _Toc147925726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4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"_Toc147925727" </w:instrText>
          </w:r>
          <w:r>
            <w:fldChar w:fldCharType="separate"/>
          </w:r>
          <w:r>
            <w:rPr>
              <w:rStyle w:val="20"/>
              <w:rFonts w:hint="eastAsia" w:ascii="仿宋" w:hAnsi="仿宋" w:eastAsia="仿宋"/>
            </w:rPr>
            <w:t>六、一般公共预算财政拨款支出决算表</w:t>
          </w:r>
          <w:r>
            <w:tab/>
          </w:r>
          <w:r>
            <w:fldChar w:fldCharType="begin"/>
          </w:r>
          <w:r>
            <w:instrText xml:space="preserve"> PAGEREF _Toc147925727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4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"_Toc147925728" </w:instrText>
          </w:r>
          <w:r>
            <w:fldChar w:fldCharType="separate"/>
          </w:r>
          <w:r>
            <w:rPr>
              <w:rStyle w:val="20"/>
              <w:rFonts w:hint="eastAsia" w:ascii="仿宋" w:hAnsi="仿宋" w:eastAsia="仿宋"/>
            </w:rPr>
            <w:t>七、一般公共预算财政拨款支出决算明细表</w:t>
          </w:r>
          <w:r>
            <w:tab/>
          </w:r>
          <w:r>
            <w:fldChar w:fldCharType="begin"/>
          </w:r>
          <w:r>
            <w:instrText xml:space="preserve"> PAGEREF _Toc147925728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4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"_Toc147925729" </w:instrText>
          </w:r>
          <w:r>
            <w:fldChar w:fldCharType="separate"/>
          </w:r>
          <w:r>
            <w:rPr>
              <w:rStyle w:val="20"/>
              <w:rFonts w:hint="eastAsia" w:ascii="仿宋" w:hAnsi="仿宋" w:eastAsia="仿宋"/>
            </w:rPr>
            <w:t>八、一般公共预算财政拨款基本支出决算表</w:t>
          </w:r>
          <w:r>
            <w:tab/>
          </w:r>
          <w:r>
            <w:fldChar w:fldCharType="begin"/>
          </w:r>
          <w:r>
            <w:instrText xml:space="preserve"> PAGEREF _Toc147925729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4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"_Toc147925730" </w:instrText>
          </w:r>
          <w:r>
            <w:fldChar w:fldCharType="separate"/>
          </w:r>
          <w:r>
            <w:rPr>
              <w:rStyle w:val="20"/>
              <w:rFonts w:hint="eastAsia" w:ascii="仿宋" w:hAnsi="仿宋" w:eastAsia="仿宋"/>
            </w:rPr>
            <w:t>九、一般公共预算财政拨款项目支出决算表</w:t>
          </w:r>
          <w:r>
            <w:tab/>
          </w:r>
          <w:r>
            <w:fldChar w:fldCharType="begin"/>
          </w:r>
          <w:r>
            <w:instrText xml:space="preserve"> PAGEREF _Toc147925730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4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"_Toc147925731" </w:instrText>
          </w:r>
          <w:r>
            <w:fldChar w:fldCharType="separate"/>
          </w:r>
          <w:r>
            <w:rPr>
              <w:rStyle w:val="20"/>
              <w:rFonts w:hint="eastAsia" w:ascii="仿宋" w:hAnsi="仿宋" w:eastAsia="仿宋"/>
            </w:rPr>
            <w:t>十、政府性基金预算财政拨款收入支出决算表</w:t>
          </w:r>
          <w:r>
            <w:tab/>
          </w:r>
          <w:r>
            <w:fldChar w:fldCharType="begin"/>
          </w:r>
          <w:r>
            <w:instrText xml:space="preserve"> PAGEREF _Toc147925731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4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"_Toc147925732" </w:instrText>
          </w:r>
          <w:r>
            <w:fldChar w:fldCharType="separate"/>
          </w:r>
          <w:r>
            <w:rPr>
              <w:rStyle w:val="20"/>
              <w:rFonts w:hint="eastAsia" w:ascii="仿宋" w:hAnsi="仿宋" w:eastAsia="仿宋"/>
            </w:rPr>
            <w:t>十一、国有资本经营预算财政拨款收入支出决算表</w:t>
          </w:r>
          <w:r>
            <w:tab/>
          </w:r>
          <w:r>
            <w:fldChar w:fldCharType="begin"/>
          </w:r>
          <w:r>
            <w:instrText xml:space="preserve"> PAGEREF _Toc147925732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4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"_Toc147925733" </w:instrText>
          </w:r>
          <w:r>
            <w:fldChar w:fldCharType="separate"/>
          </w:r>
          <w:r>
            <w:rPr>
              <w:rStyle w:val="20"/>
              <w:rFonts w:hint="eastAsia" w:ascii="仿宋" w:hAnsi="仿宋" w:eastAsia="仿宋"/>
            </w:rPr>
            <w:t>十二、国有资本经营预算财政拨款支出决算表</w:t>
          </w:r>
          <w:r>
            <w:tab/>
          </w:r>
          <w:r>
            <w:fldChar w:fldCharType="begin"/>
          </w:r>
          <w:r>
            <w:instrText xml:space="preserve"> PAGEREF _Toc147925733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4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"_Toc147925734" </w:instrText>
          </w:r>
          <w:r>
            <w:fldChar w:fldCharType="separate"/>
          </w:r>
          <w:r>
            <w:rPr>
              <w:rStyle w:val="20"/>
              <w:rFonts w:hint="eastAsia" w:ascii="仿宋" w:hAnsi="仿宋" w:eastAsia="仿宋"/>
            </w:rPr>
            <w:t>十三、财政拨款“三公”经费支出决算表</w:t>
          </w:r>
          <w:r>
            <w:tab/>
          </w:r>
          <w:r>
            <w:fldChar w:fldCharType="begin"/>
          </w:r>
          <w:r>
            <w:instrText xml:space="preserve"> PAGEREF _Toc147925734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r>
            <w:fldChar w:fldCharType="end"/>
          </w:r>
          <w:bookmarkEnd w:id="110"/>
        </w:p>
      </w:sdtContent>
    </w:sdt>
    <w:p>
      <w:pPr>
        <w:pStyle w:val="4"/>
        <w:jc w:val="center"/>
        <w:rPr>
          <w:rFonts w:hint="eastAsia" w:ascii="黑体" w:hAnsi="黑体" w:eastAsia="黑体"/>
          <w:b w:val="0"/>
        </w:rPr>
      </w:pPr>
      <w:bookmarkStart w:id="14" w:name="_Toc147925688"/>
      <w:bookmarkStart w:id="15" w:name="_Toc15396599"/>
      <w:bookmarkStart w:id="16" w:name="_Toc15377196"/>
    </w:p>
    <w:p>
      <w:pPr>
        <w:pStyle w:val="4"/>
        <w:jc w:val="center"/>
        <w:rPr>
          <w:rFonts w:hint="eastAsia" w:ascii="黑体" w:hAnsi="黑体" w:eastAsia="黑体"/>
          <w:b w:val="0"/>
        </w:rPr>
      </w:pPr>
    </w:p>
    <w:p>
      <w:pPr>
        <w:pStyle w:val="4"/>
        <w:jc w:val="center"/>
        <w:rPr>
          <w:rFonts w:hint="eastAsia" w:ascii="黑体" w:hAnsi="黑体" w:eastAsia="黑体"/>
          <w:b w:val="0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16"/>
        <w:spacing w:before="93"/>
        <w:ind w:firstLine="300"/>
        <w:rPr>
          <w:rFonts w:hint="eastAsia"/>
        </w:rPr>
      </w:pPr>
    </w:p>
    <w:p>
      <w:pPr>
        <w:pStyle w:val="16"/>
        <w:spacing w:before="93"/>
        <w:ind w:firstLine="300"/>
        <w:rPr>
          <w:rFonts w:hint="eastAsia"/>
        </w:rPr>
      </w:pPr>
    </w:p>
    <w:p>
      <w:pPr>
        <w:pStyle w:val="16"/>
        <w:spacing w:before="93"/>
        <w:ind w:firstLine="300"/>
        <w:rPr>
          <w:rFonts w:hint="eastAsia"/>
        </w:rPr>
      </w:pPr>
    </w:p>
    <w:p>
      <w:pPr>
        <w:pStyle w:val="16"/>
        <w:spacing w:before="93"/>
        <w:ind w:firstLine="300"/>
        <w:rPr>
          <w:rFonts w:hint="eastAsia"/>
        </w:rPr>
      </w:pPr>
    </w:p>
    <w:p>
      <w:pPr>
        <w:pStyle w:val="16"/>
        <w:spacing w:before="93"/>
        <w:ind w:firstLine="300"/>
        <w:rPr>
          <w:rFonts w:hint="eastAsia"/>
        </w:rPr>
      </w:pPr>
    </w:p>
    <w:p>
      <w:pPr>
        <w:pStyle w:val="4"/>
        <w:jc w:val="center"/>
        <w:rPr>
          <w:rStyle w:val="29"/>
          <w:rFonts w:ascii="黑体" w:hAnsi="黑体" w:eastAsia="黑体"/>
          <w:b/>
          <w:bCs w:val="0"/>
        </w:rPr>
      </w:pPr>
      <w:r>
        <w:rPr>
          <w:rFonts w:hint="eastAsia" w:ascii="黑体" w:hAnsi="黑体" w:eastAsia="黑体"/>
          <w:b w:val="0"/>
        </w:rPr>
        <w:t>第一部分 单位</w:t>
      </w:r>
      <w:r>
        <w:rPr>
          <w:rStyle w:val="29"/>
          <w:rFonts w:hint="eastAsia" w:ascii="黑体" w:hAnsi="黑体" w:eastAsia="黑体"/>
          <w:b w:val="0"/>
          <w:bCs w:val="0"/>
        </w:rPr>
        <w:t>概况</w:t>
      </w:r>
      <w:bookmarkEnd w:id="14"/>
      <w:bookmarkEnd w:id="15"/>
      <w:bookmarkEnd w:id="16"/>
    </w:p>
    <w:p>
      <w:pPr>
        <w:widowControl/>
        <w:jc w:val="left"/>
        <w:rPr>
          <w:rFonts w:ascii="黑体" w:eastAsia="黑体"/>
          <w:sz w:val="32"/>
          <w:szCs w:val="32"/>
        </w:rPr>
      </w:pPr>
    </w:p>
    <w:p>
      <w:pPr>
        <w:pStyle w:val="5"/>
        <w:numPr>
          <w:ilvl w:val="0"/>
          <w:numId w:val="1"/>
        </w:numPr>
        <w:rPr>
          <w:rStyle w:val="30"/>
          <w:rFonts w:ascii="黑体" w:hAnsi="黑体" w:eastAsia="黑体"/>
          <w:b w:val="0"/>
          <w:bCs w:val="0"/>
        </w:rPr>
      </w:pPr>
      <w:bookmarkStart w:id="17" w:name="_Toc147925689"/>
      <w:bookmarkStart w:id="18" w:name="_Toc15396600"/>
      <w:bookmarkStart w:id="19" w:name="_Toc15377197"/>
      <w:r>
        <w:rPr>
          <w:rStyle w:val="30"/>
          <w:rFonts w:hint="eastAsia" w:ascii="黑体" w:hAnsi="黑体" w:eastAsia="黑体"/>
          <w:b w:val="0"/>
          <w:bCs w:val="0"/>
        </w:rPr>
        <w:t>主要职责</w:t>
      </w:r>
      <w:bookmarkEnd w:id="17"/>
    </w:p>
    <w:p>
      <w:pPr>
        <w:pStyle w:val="9"/>
        <w:ind w:firstLine="640" w:firstLineChars="200"/>
        <w:rPr>
          <w:rFonts w:ascii="仿宋_GB2312" w:hAnsi="仿宋_GB2312"/>
          <w:b w:val="0"/>
          <w:bCs/>
        </w:rPr>
      </w:pPr>
      <w:r>
        <w:rPr>
          <w:rFonts w:ascii="仿宋_GB2312" w:hAnsi="仿宋_GB2312"/>
          <w:b w:val="0"/>
          <w:bCs/>
        </w:rPr>
        <w:t>剑阁县</w:t>
      </w:r>
      <w:r>
        <w:rPr>
          <w:rFonts w:hint="eastAsia" w:ascii="仿宋_GB2312" w:hAnsi="仿宋_GB2312"/>
          <w:b w:val="0"/>
          <w:bCs/>
        </w:rPr>
        <w:t>樵店</w:t>
      </w:r>
      <w:r>
        <w:rPr>
          <w:rFonts w:ascii="仿宋_GB2312" w:hAnsi="仿宋_GB2312"/>
          <w:b w:val="0"/>
          <w:bCs/>
        </w:rPr>
        <w:t>乡卫生院成立于196</w:t>
      </w:r>
      <w:r>
        <w:rPr>
          <w:rFonts w:hint="eastAsia" w:ascii="仿宋_GB2312" w:hAnsi="仿宋_GB2312"/>
          <w:b w:val="0"/>
          <w:bCs/>
        </w:rPr>
        <w:t>3</w:t>
      </w:r>
      <w:r>
        <w:rPr>
          <w:rFonts w:ascii="仿宋_GB2312" w:hAnsi="仿宋_GB2312"/>
          <w:b w:val="0"/>
          <w:bCs/>
        </w:rPr>
        <w:t>年，位于剑阁县</w:t>
      </w:r>
      <w:r>
        <w:rPr>
          <w:rFonts w:hint="eastAsia" w:ascii="仿宋_GB2312" w:hAnsi="仿宋_GB2312"/>
          <w:b w:val="0"/>
          <w:bCs/>
        </w:rPr>
        <w:t>樵店乡七一场镇</w:t>
      </w:r>
      <w:r>
        <w:rPr>
          <w:rFonts w:ascii="仿宋_GB2312" w:hAnsi="仿宋_GB2312"/>
          <w:b w:val="0"/>
          <w:bCs/>
        </w:rPr>
        <w:t>。目前属</w:t>
      </w:r>
      <w:r>
        <w:rPr>
          <w:rFonts w:hint="eastAsia" w:ascii="仿宋_GB2312" w:hAnsi="仿宋_GB2312"/>
          <w:b w:val="0"/>
          <w:bCs/>
        </w:rPr>
        <w:t>剑阁县非盈利</w:t>
      </w:r>
      <w:r>
        <w:rPr>
          <w:rFonts w:ascii="仿宋_GB2312" w:hAnsi="仿宋_GB2312"/>
          <w:b w:val="0"/>
          <w:bCs/>
        </w:rPr>
        <w:t>一级乙等</w:t>
      </w:r>
      <w:r>
        <w:rPr>
          <w:rFonts w:hint="eastAsia" w:ascii="仿宋_GB2312" w:hAnsi="仿宋_GB2312"/>
          <w:b w:val="0"/>
          <w:bCs/>
        </w:rPr>
        <w:t>乡镇卫生院</w:t>
      </w:r>
      <w:r>
        <w:rPr>
          <w:rFonts w:ascii="仿宋_GB2312" w:hAnsi="仿宋_GB2312"/>
          <w:b w:val="0"/>
          <w:bCs/>
        </w:rPr>
        <w:t>，为城乡居民医疗保险、城镇职工医疗保险定点</w:t>
      </w:r>
      <w:r>
        <w:rPr>
          <w:rFonts w:hint="eastAsia" w:ascii="仿宋_GB2312" w:hAnsi="仿宋_GB2312"/>
          <w:b w:val="0"/>
          <w:bCs/>
        </w:rPr>
        <w:t>卫生院</w:t>
      </w:r>
      <w:r>
        <w:rPr>
          <w:rFonts w:ascii="仿宋_GB2312" w:hAnsi="仿宋_GB2312"/>
          <w:b w:val="0"/>
          <w:bCs/>
        </w:rPr>
        <w:t>。</w:t>
      </w:r>
    </w:p>
    <w:p>
      <w:pPr>
        <w:pStyle w:val="9"/>
        <w:ind w:firstLine="640" w:firstLineChars="200"/>
        <w:rPr>
          <w:rFonts w:ascii="仿宋_GB2312" w:hAnsi="仿宋_GB2312"/>
          <w:b w:val="0"/>
          <w:bCs/>
        </w:rPr>
      </w:pPr>
      <w:r>
        <w:rPr>
          <w:rFonts w:hint="eastAsia" w:ascii="仿宋_GB2312" w:hAnsi="仿宋_GB2312"/>
          <w:b w:val="0"/>
          <w:bCs/>
        </w:rPr>
        <w:t>全院在岗编制8人，</w:t>
      </w:r>
      <w:r>
        <w:rPr>
          <w:rFonts w:ascii="仿宋_GB2312" w:hAnsi="仿宋_GB2312"/>
          <w:b w:val="0"/>
          <w:bCs/>
        </w:rPr>
        <w:t>医院现有职工1</w:t>
      </w:r>
      <w:r>
        <w:rPr>
          <w:rFonts w:hint="eastAsia" w:ascii="仿宋_GB2312" w:hAnsi="仿宋_GB2312"/>
          <w:b w:val="0"/>
          <w:bCs/>
        </w:rPr>
        <w:t>1</w:t>
      </w:r>
      <w:r>
        <w:rPr>
          <w:rFonts w:ascii="仿宋_GB2312" w:hAnsi="仿宋_GB2312"/>
          <w:b w:val="0"/>
          <w:bCs/>
        </w:rPr>
        <w:t>名，</w:t>
      </w:r>
      <w:r>
        <w:rPr>
          <w:rFonts w:hint="eastAsia" w:ascii="仿宋_GB2312" w:hAnsi="仿宋_GB2312"/>
          <w:b w:val="0"/>
          <w:bCs/>
        </w:rPr>
        <w:t>主治</w:t>
      </w:r>
      <w:r>
        <w:rPr>
          <w:rFonts w:ascii="仿宋_GB2312" w:hAnsi="仿宋_GB2312"/>
          <w:b w:val="0"/>
          <w:bCs/>
        </w:rPr>
        <w:t>医师</w:t>
      </w:r>
      <w:r>
        <w:rPr>
          <w:rFonts w:hint="eastAsia" w:ascii="仿宋_GB2312" w:hAnsi="仿宋_GB2312"/>
          <w:b w:val="0"/>
          <w:bCs/>
        </w:rPr>
        <w:t>1</w:t>
      </w:r>
      <w:r>
        <w:rPr>
          <w:rFonts w:ascii="仿宋_GB2312" w:hAnsi="仿宋_GB2312"/>
          <w:b w:val="0"/>
          <w:bCs/>
        </w:rPr>
        <w:t>名，执业助理医师1名，执业护师2名</w:t>
      </w:r>
      <w:r>
        <w:rPr>
          <w:rFonts w:hint="eastAsia" w:ascii="仿宋_GB2312" w:hAnsi="仿宋_GB2312"/>
          <w:b w:val="0"/>
          <w:bCs/>
        </w:rPr>
        <w:t>，中级职称1人，初级职称5人，本科学历3人，大专学历5人，中专学历3人，樵店乡卫生院占地面积1295平，房屋建筑面积822平米，编制床位5张，实有床位4张，能有效提高樵店乡医疗服务水平，完善集镇功能，减轻群众就医负担</w:t>
      </w:r>
      <w:r>
        <w:rPr>
          <w:rFonts w:ascii="仿宋_GB2312" w:hAnsi="仿宋_GB2312"/>
          <w:b w:val="0"/>
          <w:bCs/>
        </w:rPr>
        <w:t>。医院拥有十二通道心电图机、迈瑞B超、便携式B超（床旁）、全自动生化仪、全自动血细胞分析仪等医疗设备。</w:t>
      </w:r>
    </w:p>
    <w:p>
      <w:pPr>
        <w:pStyle w:val="9"/>
        <w:ind w:firstLine="640" w:firstLineChars="200"/>
        <w:rPr>
          <w:rFonts w:ascii="仿宋" w:hAnsi="仿宋" w:eastAsia="仿宋" w:cs="仿宋"/>
          <w:b w:val="0"/>
          <w:bCs/>
        </w:rPr>
      </w:pPr>
      <w:r>
        <w:rPr>
          <w:rFonts w:hint="eastAsia" w:ascii="仿宋" w:hAnsi="仿宋" w:eastAsia="仿宋" w:cs="仿宋"/>
          <w:b w:val="0"/>
          <w:bCs/>
        </w:rPr>
        <w:t>（一）积极开展公共卫生服务活动，对全镇老年人、慢病、孕产妇及儿童等人群服务。</w:t>
      </w:r>
    </w:p>
    <w:p>
      <w:pPr>
        <w:pStyle w:val="9"/>
        <w:ind w:firstLine="640" w:firstLineChars="200"/>
        <w:rPr>
          <w:rFonts w:ascii="仿宋" w:hAnsi="仿宋" w:eastAsia="仿宋" w:cs="仿宋"/>
          <w:b w:val="0"/>
          <w:bCs/>
        </w:rPr>
      </w:pPr>
      <w:r>
        <w:rPr>
          <w:rFonts w:hint="eastAsia" w:ascii="仿宋" w:hAnsi="仿宋" w:eastAsia="仿宋" w:cs="仿宋"/>
          <w:b w:val="0"/>
          <w:bCs/>
        </w:rPr>
        <w:t>（二）加强医疗质量管理，加强医务人员医德医风建设，不断提高服务水平。加强业务学习，提高业务水平，努力构建和谐医疗环境与医患关系。</w:t>
      </w:r>
    </w:p>
    <w:p>
      <w:pPr>
        <w:pStyle w:val="9"/>
        <w:ind w:firstLine="640" w:firstLineChars="200"/>
        <w:jc w:val="left"/>
        <w:rPr>
          <w:rFonts w:ascii="仿宋_GB2312" w:hAnsi="仿宋_GB2312" w:cs="仿宋_GB2312"/>
          <w:b w:val="0"/>
          <w:bCs/>
          <w:szCs w:val="32"/>
        </w:rPr>
      </w:pPr>
      <w:r>
        <w:rPr>
          <w:rFonts w:hint="eastAsia" w:ascii="仿宋_GB2312" w:hAnsi="仿宋_GB2312" w:cs="仿宋_GB2312"/>
          <w:b w:val="0"/>
          <w:bCs/>
          <w:szCs w:val="32"/>
        </w:rPr>
        <w:t>（三）积极引进人才，加大人才培养，积极优化人员结构加强人员管理</w:t>
      </w:r>
    </w:p>
    <w:p>
      <w:pPr>
        <w:pStyle w:val="9"/>
        <w:ind w:firstLine="640" w:firstLineChars="200"/>
        <w:jc w:val="left"/>
        <w:rPr>
          <w:rFonts w:ascii="仿宋_GB2312" w:hAnsi="仿宋_GB2312" w:cs="仿宋_GB2312"/>
          <w:b w:val="0"/>
          <w:bCs/>
          <w:szCs w:val="32"/>
        </w:rPr>
      </w:pPr>
      <w:r>
        <w:rPr>
          <w:rFonts w:hint="eastAsia" w:ascii="仿宋_GB2312" w:hAnsi="仿宋_GB2312" w:cs="仿宋_GB2312"/>
          <w:b w:val="0"/>
          <w:bCs/>
          <w:szCs w:val="32"/>
        </w:rPr>
        <w:t>（四）对医疗设备适当投入，满足医院业务需要</w:t>
      </w:r>
    </w:p>
    <w:p>
      <w:pPr>
        <w:pStyle w:val="9"/>
        <w:ind w:firstLine="640" w:firstLineChars="200"/>
        <w:jc w:val="left"/>
        <w:rPr>
          <w:rFonts w:ascii="仿宋_GB2312" w:hAnsi="仿宋_GB2312" w:cs="仿宋_GB2312"/>
          <w:b w:val="0"/>
          <w:bCs/>
          <w:szCs w:val="32"/>
        </w:rPr>
      </w:pPr>
      <w:r>
        <w:rPr>
          <w:rFonts w:hint="eastAsia" w:ascii="仿宋_GB2312" w:hAnsi="仿宋_GB2312" w:cs="仿宋_GB2312"/>
          <w:b w:val="0"/>
          <w:bCs/>
          <w:szCs w:val="32"/>
        </w:rPr>
        <w:t>（五）加强医疗质量管理及能力提升，严格绩效考核制度</w:t>
      </w:r>
    </w:p>
    <w:p>
      <w:pPr>
        <w:pStyle w:val="9"/>
        <w:ind w:firstLine="640" w:firstLineChars="200"/>
        <w:jc w:val="left"/>
        <w:rPr>
          <w:rFonts w:ascii="仿宋_GB2312" w:hAnsi="仿宋_GB2312" w:cs="仿宋_GB2312"/>
          <w:b w:val="0"/>
          <w:bCs/>
          <w:szCs w:val="32"/>
        </w:rPr>
      </w:pPr>
      <w:r>
        <w:rPr>
          <w:rFonts w:hint="eastAsia" w:ascii="仿宋_GB2312" w:hAnsi="仿宋_GB2312" w:cs="仿宋_GB2312"/>
          <w:b w:val="0"/>
          <w:bCs/>
          <w:szCs w:val="32"/>
        </w:rPr>
        <w:t>（六）认真落实医保政策，适应医保制度改革</w:t>
      </w:r>
    </w:p>
    <w:p>
      <w:pPr>
        <w:pStyle w:val="9"/>
        <w:ind w:firstLine="640" w:firstLineChars="200"/>
        <w:jc w:val="left"/>
        <w:rPr>
          <w:rFonts w:ascii="仿宋_GB2312" w:hAnsi="仿宋_GB2312" w:cs="仿宋_GB2312"/>
          <w:b w:val="0"/>
          <w:bCs/>
          <w:szCs w:val="32"/>
        </w:rPr>
      </w:pPr>
      <w:r>
        <w:rPr>
          <w:rFonts w:hint="eastAsia" w:ascii="仿宋_GB2312" w:hAnsi="仿宋_GB2312" w:cs="仿宋_GB2312"/>
          <w:b w:val="0"/>
          <w:bCs/>
          <w:szCs w:val="32"/>
        </w:rPr>
        <w:t>（七）适应新要求，继续加强基本公共卫生服务工作</w:t>
      </w:r>
    </w:p>
    <w:p/>
    <w:p>
      <w:pPr>
        <w:pStyle w:val="5"/>
        <w:rPr>
          <w:rFonts w:ascii="黑体" w:hAnsi="黑体" w:eastAsia="黑体"/>
          <w:b w:val="0"/>
        </w:rPr>
      </w:pPr>
      <w:bookmarkStart w:id="20" w:name="_Toc147925690"/>
      <w:r>
        <w:rPr>
          <w:rFonts w:hint="eastAsia" w:ascii="黑体" w:hAnsi="黑体" w:eastAsia="黑体"/>
          <w:b w:val="0"/>
        </w:rPr>
        <w:t>二、机构设置</w:t>
      </w:r>
      <w:bookmarkEnd w:id="20"/>
    </w:p>
    <w:bookmarkEnd w:id="18"/>
    <w:bookmarkEnd w:id="19"/>
    <w:p>
      <w:pPr>
        <w:pStyle w:val="9"/>
        <w:ind w:firstLine="640" w:firstLineChars="200"/>
        <w:rPr>
          <w:rFonts w:ascii="仿宋_GB2312" w:hAnsi="仿宋_GB2312"/>
          <w:b w:val="0"/>
          <w:bCs/>
        </w:rPr>
      </w:pPr>
      <w:r>
        <w:rPr>
          <w:rFonts w:ascii="仿宋_GB2312" w:hAnsi="仿宋_GB2312"/>
          <w:b w:val="0"/>
          <w:bCs/>
        </w:rPr>
        <w:t>医院开设有内科、外科、中医科、检验、等临床科室。能开展对临床常见病、多发病能给予积极准确的诊治，并对临床危重、急诊病人进行有效的抢救和治疗。</w:t>
      </w:r>
    </w:p>
    <w:p>
      <w:pPr>
        <w:widowControl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pStyle w:val="4"/>
        <w:ind w:right="440"/>
        <w:jc w:val="center"/>
        <w:rPr>
          <w:rStyle w:val="29"/>
          <w:rFonts w:ascii="黑体" w:hAnsi="黑体" w:eastAsia="黑体"/>
          <w:b w:val="0"/>
          <w:bCs/>
        </w:rPr>
      </w:pPr>
      <w:bookmarkStart w:id="21" w:name="_Toc147925691"/>
      <w:bookmarkStart w:id="22" w:name="_Toc15377204"/>
      <w:bookmarkStart w:id="23" w:name="_Toc15396602"/>
      <w:r>
        <w:rPr>
          <w:rFonts w:hint="eastAsia" w:ascii="黑体" w:hAnsi="黑体" w:eastAsia="黑体"/>
          <w:b w:val="0"/>
        </w:rPr>
        <w:t>第二部分 2022年度</w:t>
      </w:r>
      <w:r>
        <w:rPr>
          <w:rStyle w:val="29"/>
          <w:rFonts w:hint="eastAsia" w:ascii="黑体" w:hAnsi="黑体" w:eastAsia="黑体"/>
          <w:b w:val="0"/>
          <w:bCs/>
        </w:rPr>
        <w:t>单位决算情况说明</w:t>
      </w:r>
      <w:bookmarkEnd w:id="21"/>
      <w:bookmarkEnd w:id="22"/>
      <w:bookmarkEnd w:id="23"/>
    </w:p>
    <w:p/>
    <w:p>
      <w:pPr>
        <w:pStyle w:val="28"/>
        <w:numPr>
          <w:ilvl w:val="0"/>
          <w:numId w:val="2"/>
        </w:numPr>
        <w:spacing w:line="600" w:lineRule="exact"/>
        <w:ind w:firstLineChars="0"/>
        <w:outlineLvl w:val="1"/>
        <w:rPr>
          <w:rStyle w:val="30"/>
          <w:rFonts w:ascii="黑体" w:hAnsi="黑体" w:eastAsia="黑体"/>
          <w:b w:val="0"/>
        </w:rPr>
      </w:pPr>
      <w:bookmarkStart w:id="24" w:name="_Toc15396603"/>
      <w:bookmarkStart w:id="25" w:name="_Toc147925692"/>
      <w:bookmarkStart w:id="26" w:name="_Toc15377205"/>
      <w:r>
        <w:rPr>
          <w:rFonts w:hint="eastAsia" w:ascii="黑体" w:hAnsi="黑体" w:eastAsia="黑体"/>
          <w:sz w:val="32"/>
          <w:szCs w:val="32"/>
        </w:rPr>
        <w:t>收</w:t>
      </w:r>
      <w:r>
        <w:rPr>
          <w:rStyle w:val="30"/>
          <w:rFonts w:hint="eastAsia" w:ascii="黑体" w:hAnsi="黑体" w:eastAsia="黑体"/>
          <w:b w:val="0"/>
        </w:rPr>
        <w:t>入支出决算总体情况说明</w:t>
      </w:r>
      <w:bookmarkEnd w:id="24"/>
      <w:bookmarkEnd w:id="25"/>
      <w:bookmarkEnd w:id="26"/>
    </w:p>
    <w:p>
      <w:pPr>
        <w:pStyle w:val="2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2022年度收、支总计196.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hint="eastAsia" w:ascii="仿宋" w:hAnsi="仿宋" w:eastAsia="仿宋" w:cs="仿宋"/>
          <w:sz w:val="32"/>
          <w:szCs w:val="32"/>
        </w:rPr>
        <w:t>2021年本单位未单独填报决算，由系统统一填报部门决算，故无法对比。</w:t>
      </w:r>
    </w:p>
    <w:p>
      <w:pPr>
        <w:pStyle w:val="28"/>
        <w:numPr>
          <w:ilvl w:val="0"/>
          <w:numId w:val="2"/>
        </w:numPr>
        <w:spacing w:line="600" w:lineRule="exact"/>
        <w:ind w:firstLineChars="0"/>
        <w:outlineLvl w:val="1"/>
        <w:rPr>
          <w:rStyle w:val="30"/>
          <w:rFonts w:ascii="黑体" w:hAnsi="黑体" w:eastAsia="黑体"/>
          <w:b w:val="0"/>
        </w:rPr>
      </w:pPr>
      <w:bookmarkStart w:id="27" w:name="_Toc15396604"/>
      <w:bookmarkStart w:id="28" w:name="_Toc147925693"/>
      <w:bookmarkStart w:id="29" w:name="_Toc15377206"/>
      <w:r>
        <w:rPr>
          <w:rFonts w:hint="eastAsia" w:ascii="黑体" w:hAnsi="黑体" w:eastAsia="黑体"/>
          <w:sz w:val="32"/>
          <w:szCs w:val="32"/>
        </w:rPr>
        <w:t>收</w:t>
      </w:r>
      <w:r>
        <w:rPr>
          <w:rStyle w:val="30"/>
          <w:rFonts w:hint="eastAsia" w:ascii="黑体" w:hAnsi="黑体" w:eastAsia="黑体"/>
          <w:b w:val="0"/>
        </w:rPr>
        <w:t>入决算情况说明</w:t>
      </w:r>
      <w:bookmarkEnd w:id="27"/>
      <w:bookmarkEnd w:id="28"/>
      <w:bookmarkEnd w:id="29"/>
    </w:p>
    <w:p>
      <w:pPr>
        <w:spacing w:line="600" w:lineRule="exact"/>
        <w:ind w:firstLine="640" w:firstLineChars="200"/>
        <w:outlineLvl w:val="1"/>
        <w:rPr>
          <w:rFonts w:ascii="仿宋" w:hAnsi="仿宋" w:eastAsia="仿宋"/>
          <w:b/>
          <w:sz w:val="32"/>
          <w:szCs w:val="32"/>
        </w:rPr>
      </w:pPr>
      <w:bookmarkStart w:id="30" w:name="_Toc147925694"/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22年本年收入合计196.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万元，其中：一般公共预算财政拨款收入122.11万元，占62.2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；事业收入69.06万元，占35.18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；其他收入5.12万元，占2.62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  <w:bookmarkEnd w:id="30"/>
    </w:p>
    <w:p>
      <w:pPr>
        <w:pStyle w:val="2"/>
      </w:pPr>
      <w:r>
        <w:drawing>
          <wp:inline distT="0" distB="0" distL="114300" distR="114300">
            <wp:extent cx="4572000" cy="2743200"/>
            <wp:effectExtent l="4445" t="4445" r="14605" b="14605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28"/>
        <w:numPr>
          <w:ilvl w:val="0"/>
          <w:numId w:val="2"/>
        </w:numPr>
        <w:spacing w:line="600" w:lineRule="exact"/>
        <w:ind w:firstLineChars="0"/>
        <w:outlineLvl w:val="1"/>
        <w:rPr>
          <w:rStyle w:val="30"/>
          <w:rFonts w:ascii="黑体" w:hAnsi="黑体" w:eastAsia="黑体"/>
          <w:b w:val="0"/>
        </w:rPr>
      </w:pPr>
      <w:bookmarkStart w:id="31" w:name="_Toc15377207"/>
      <w:bookmarkStart w:id="32" w:name="_Toc15396605"/>
      <w:bookmarkStart w:id="33" w:name="_Toc147925696"/>
      <w:r>
        <w:rPr>
          <w:rFonts w:hint="eastAsia" w:ascii="黑体" w:hAnsi="黑体" w:eastAsia="黑体"/>
          <w:sz w:val="32"/>
          <w:szCs w:val="32"/>
        </w:rPr>
        <w:t>支</w:t>
      </w:r>
      <w:r>
        <w:rPr>
          <w:rStyle w:val="30"/>
          <w:rFonts w:hint="eastAsia" w:ascii="黑体" w:hAnsi="黑体" w:eastAsia="黑体"/>
          <w:b w:val="0"/>
        </w:rPr>
        <w:t>出决算情况说明</w:t>
      </w:r>
      <w:bookmarkEnd w:id="31"/>
      <w:bookmarkEnd w:id="32"/>
      <w:bookmarkEnd w:id="33"/>
    </w:p>
    <w:p>
      <w:pPr>
        <w:spacing w:line="600" w:lineRule="exact"/>
        <w:ind w:firstLine="640" w:firstLineChars="200"/>
        <w:outlineLvl w:val="1"/>
        <w:rPr>
          <w:rFonts w:hint="eastAsia" w:ascii="仿宋" w:hAnsi="仿宋" w:eastAsia="仿宋"/>
          <w:sz w:val="32"/>
          <w:szCs w:val="32"/>
          <w:lang w:eastAsia="zh-CN"/>
        </w:rPr>
      </w:pPr>
      <w:bookmarkStart w:id="34" w:name="_Toc147925697"/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22年本年支出合计196.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万元，其中：基本支出196.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万元，占100</w:t>
      </w:r>
      <w:r>
        <w:rPr>
          <w:rFonts w:ascii="仿宋" w:hAnsi="仿宋" w:eastAsia="仿宋"/>
          <w:sz w:val="32"/>
          <w:szCs w:val="32"/>
        </w:rPr>
        <w:t>%</w:t>
      </w:r>
      <w:bookmarkEnd w:id="34"/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600" w:lineRule="exact"/>
        <w:ind w:firstLine="420" w:firstLineChars="200"/>
      </w:pPr>
    </w:p>
    <w:p>
      <w:pPr>
        <w:spacing w:line="600" w:lineRule="exact"/>
        <w:ind w:firstLine="420" w:firstLineChars="200"/>
      </w:pPr>
    </w:p>
    <w:p>
      <w:pPr>
        <w:spacing w:line="600" w:lineRule="exact"/>
        <w:ind w:firstLine="420" w:firstLineChars="200"/>
      </w:pPr>
    </w:p>
    <w:p>
      <w:pPr>
        <w:spacing w:line="600" w:lineRule="exact"/>
        <w:ind w:firstLine="420" w:firstLineChars="200"/>
        <w:rPr>
          <w:rFonts w:ascii="仿宋_GB2312" w:eastAsia="仿宋_GB2312"/>
          <w:sz w:val="32"/>
          <w:szCs w:val="3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-929005</wp:posOffset>
            </wp:positionV>
            <wp:extent cx="5269865" cy="2139950"/>
            <wp:effectExtent l="4445" t="4445" r="21590" b="8255"/>
            <wp:wrapNone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>
      <w:pPr>
        <w:spacing w:line="600" w:lineRule="exact"/>
        <w:ind w:firstLine="640" w:firstLineChars="200"/>
        <w:outlineLvl w:val="1"/>
        <w:rPr>
          <w:rFonts w:hint="eastAsia" w:ascii="黑体" w:hAnsi="黑体" w:eastAsia="黑体"/>
          <w:sz w:val="32"/>
          <w:szCs w:val="32"/>
        </w:rPr>
      </w:pPr>
      <w:bookmarkStart w:id="35" w:name="_Toc147925699"/>
      <w:bookmarkStart w:id="36" w:name="_Toc15377208"/>
      <w:bookmarkStart w:id="37" w:name="_Toc15396606"/>
    </w:p>
    <w:p>
      <w:pPr>
        <w:spacing w:line="600" w:lineRule="exact"/>
        <w:ind w:firstLine="640" w:firstLineChars="200"/>
        <w:outlineLvl w:val="1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outlineLvl w:val="1"/>
        <w:rPr>
          <w:rStyle w:val="30"/>
          <w:rFonts w:ascii="黑体" w:hAnsi="黑体" w:eastAsia="黑体"/>
          <w:b w:val="0"/>
        </w:rPr>
      </w:pPr>
      <w:r>
        <w:rPr>
          <w:rFonts w:hint="eastAsia" w:ascii="黑体" w:hAnsi="黑体" w:eastAsia="黑体"/>
          <w:sz w:val="32"/>
          <w:szCs w:val="32"/>
        </w:rPr>
        <w:t>四、财</w:t>
      </w:r>
      <w:r>
        <w:rPr>
          <w:rStyle w:val="30"/>
          <w:rFonts w:hint="eastAsia" w:ascii="黑体" w:hAnsi="黑体" w:eastAsia="黑体"/>
          <w:b w:val="0"/>
        </w:rPr>
        <w:t>政拨款收入支出决算总体情况说明</w:t>
      </w:r>
      <w:bookmarkEnd w:id="35"/>
      <w:bookmarkEnd w:id="36"/>
      <w:bookmarkEnd w:id="37"/>
    </w:p>
    <w:p>
      <w:pPr>
        <w:spacing w:line="600" w:lineRule="exact"/>
        <w:ind w:firstLine="640" w:firstLineChars="200"/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22年财政拨款收、支总计122.11万元。</w:t>
      </w:r>
      <w:r>
        <w:rPr>
          <w:rFonts w:hint="eastAsia" w:ascii="仿宋" w:hAnsi="仿宋" w:eastAsia="仿宋" w:cs="仿宋"/>
          <w:sz w:val="32"/>
          <w:szCs w:val="32"/>
        </w:rPr>
        <w:t>2021年本单位未单独填报决算，由系统统一填报部门决算，故无法对比。</w:t>
      </w:r>
    </w:p>
    <w:p>
      <w:pPr>
        <w:spacing w:line="600" w:lineRule="exact"/>
        <w:ind w:firstLine="640" w:firstLineChars="200"/>
        <w:outlineLvl w:val="1"/>
        <w:rPr>
          <w:rStyle w:val="30"/>
          <w:rFonts w:ascii="黑体" w:hAnsi="黑体" w:eastAsia="黑体"/>
          <w:b w:val="0"/>
        </w:rPr>
      </w:pPr>
      <w:bookmarkStart w:id="38" w:name="_Toc147925700"/>
      <w:bookmarkStart w:id="39" w:name="_Toc15396607"/>
      <w:bookmarkStart w:id="40" w:name="_Toc15377209"/>
      <w:r>
        <w:rPr>
          <w:rFonts w:hint="eastAsia" w:ascii="黑体" w:hAnsi="黑体" w:eastAsia="黑体"/>
          <w:sz w:val="32"/>
          <w:szCs w:val="32"/>
        </w:rPr>
        <w:t>五、</w:t>
      </w:r>
      <w:r>
        <w:rPr>
          <w:rFonts w:hint="eastAsia" w:ascii="黑体" w:hAnsi="黑体" w:eastAsia="黑体"/>
          <w:b/>
          <w:sz w:val="32"/>
          <w:szCs w:val="32"/>
        </w:rPr>
        <w:t>一</w:t>
      </w:r>
      <w:r>
        <w:rPr>
          <w:rStyle w:val="30"/>
          <w:rFonts w:hint="eastAsia" w:ascii="黑体" w:hAnsi="黑体" w:eastAsia="黑体"/>
          <w:b w:val="0"/>
        </w:rPr>
        <w:t>般公共预算财政拨款支出决算情况说明</w:t>
      </w:r>
      <w:bookmarkEnd w:id="38"/>
      <w:bookmarkEnd w:id="39"/>
      <w:bookmarkEnd w:id="40"/>
    </w:p>
    <w:p>
      <w:pPr>
        <w:spacing w:line="600" w:lineRule="exact"/>
        <w:ind w:firstLine="643" w:firstLineChars="200"/>
        <w:outlineLvl w:val="2"/>
        <w:rPr>
          <w:rFonts w:ascii="仿宋" w:hAnsi="仿宋" w:eastAsia="仿宋"/>
          <w:b/>
          <w:sz w:val="32"/>
          <w:szCs w:val="32"/>
        </w:rPr>
      </w:pPr>
      <w:bookmarkStart w:id="41" w:name="_Toc147925701"/>
      <w:bookmarkStart w:id="42" w:name="_Toc15377210"/>
      <w:r>
        <w:rPr>
          <w:rFonts w:hint="eastAsia" w:ascii="仿宋" w:hAnsi="仿宋" w:eastAsia="仿宋"/>
          <w:b/>
          <w:sz w:val="32"/>
          <w:szCs w:val="32"/>
        </w:rPr>
        <w:t>（一）一般公共预算财政拨款支出决算总体情况</w:t>
      </w:r>
      <w:bookmarkEnd w:id="41"/>
      <w:bookmarkEnd w:id="42"/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22年一般公共预算财政拨款支出122.11万元，占本年支出合计的100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2021年本单位未单独填报决算，由系统统一填报部门决算，故无法对比。</w:t>
      </w:r>
    </w:p>
    <w:p>
      <w:pPr>
        <w:spacing w:line="600" w:lineRule="exact"/>
        <w:ind w:firstLine="643" w:firstLineChars="200"/>
        <w:outlineLvl w:val="2"/>
        <w:rPr>
          <w:rFonts w:ascii="仿宋" w:hAnsi="仿宋" w:eastAsia="仿宋"/>
          <w:b/>
          <w:sz w:val="32"/>
          <w:szCs w:val="32"/>
        </w:rPr>
      </w:pPr>
      <w:bookmarkStart w:id="43" w:name="_Toc147925702"/>
      <w:bookmarkStart w:id="44" w:name="_Toc15377211"/>
      <w:r>
        <w:rPr>
          <w:rFonts w:hint="eastAsia" w:ascii="仿宋" w:hAnsi="仿宋" w:eastAsia="仿宋"/>
          <w:b/>
          <w:sz w:val="32"/>
          <w:szCs w:val="32"/>
        </w:rPr>
        <w:t>（二）一般公共预算财政拨款支出决算结构情况</w:t>
      </w:r>
      <w:bookmarkEnd w:id="43"/>
      <w:bookmarkEnd w:id="44"/>
    </w:p>
    <w:p>
      <w:pPr>
        <w:spacing w:line="600" w:lineRule="exact"/>
        <w:ind w:firstLine="64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22年一般公共预算财政拨款支出122.11万元，主要用于以下方面</w:t>
      </w:r>
      <w:r>
        <w:rPr>
          <w:rFonts w:ascii="仿宋" w:hAnsi="仿宋" w:eastAsia="仿宋"/>
          <w:sz w:val="32"/>
          <w:szCs w:val="32"/>
        </w:rPr>
        <w:t>:</w:t>
      </w:r>
      <w:r>
        <w:rPr>
          <w:rFonts w:hint="eastAsia" w:ascii="仿宋" w:hAnsi="仿宋" w:eastAsia="仿宋"/>
          <w:b/>
          <w:sz w:val="32"/>
          <w:szCs w:val="32"/>
        </w:rPr>
        <w:t>社会保障和就业</w:t>
      </w:r>
      <w:r>
        <w:rPr>
          <w:rFonts w:hint="eastAsia" w:ascii="仿宋" w:hAnsi="仿宋" w:eastAsia="仿宋"/>
          <w:b/>
          <w:bCs/>
          <w:sz w:val="32"/>
          <w:szCs w:val="32"/>
        </w:rPr>
        <w:t>支出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8.23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6.74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hint="eastAsia" w:ascii="仿宋" w:hAnsi="仿宋" w:eastAsia="仿宋"/>
          <w:b/>
          <w:bCs/>
          <w:sz w:val="32"/>
          <w:szCs w:val="32"/>
        </w:rPr>
        <w:t>卫生健康支出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107.72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88.21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hint="eastAsia" w:ascii="仿宋" w:hAnsi="仿宋" w:eastAsia="仿宋"/>
          <w:b/>
          <w:bCs/>
          <w:sz w:val="32"/>
          <w:szCs w:val="32"/>
        </w:rPr>
        <w:t>住房保障支出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6.17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5.05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180975</wp:posOffset>
            </wp:positionV>
            <wp:extent cx="4572000" cy="2149475"/>
            <wp:effectExtent l="5080" t="4445" r="13970" b="17780"/>
            <wp:wrapNone/>
            <wp:docPr id="1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pStyle w:val="2"/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pStyle w:val="2"/>
      </w:pPr>
    </w:p>
    <w:p>
      <w:pPr>
        <w:spacing w:line="600" w:lineRule="exact"/>
        <w:ind w:firstLine="643" w:firstLineChars="200"/>
        <w:outlineLvl w:val="2"/>
        <w:rPr>
          <w:rFonts w:ascii="仿宋" w:hAnsi="仿宋" w:eastAsia="仿宋"/>
          <w:b/>
          <w:sz w:val="32"/>
          <w:szCs w:val="32"/>
        </w:rPr>
      </w:pPr>
      <w:bookmarkStart w:id="45" w:name="_Toc15377212"/>
      <w:bookmarkStart w:id="46" w:name="_Toc147925703"/>
      <w:r>
        <w:rPr>
          <w:rFonts w:hint="eastAsia" w:ascii="仿宋" w:hAnsi="仿宋" w:eastAsia="仿宋"/>
          <w:b/>
          <w:sz w:val="32"/>
          <w:szCs w:val="32"/>
        </w:rPr>
        <w:t>（三）一般公共预算财政拨款支出决算具体情况</w:t>
      </w:r>
      <w:bookmarkEnd w:id="45"/>
      <w:bookmarkEnd w:id="46"/>
    </w:p>
    <w:p>
      <w:pPr>
        <w:spacing w:line="600" w:lineRule="exact"/>
        <w:ind w:firstLine="643" w:firstLineChars="200"/>
        <w:outlineLvl w:val="2"/>
        <w:rPr>
          <w:rFonts w:ascii="仿宋" w:hAnsi="仿宋" w:eastAsia="仿宋"/>
          <w:sz w:val="32"/>
          <w:szCs w:val="32"/>
        </w:rPr>
      </w:pPr>
      <w:bookmarkStart w:id="47" w:name="_Toc15377444"/>
      <w:bookmarkStart w:id="48" w:name="_Toc147925704"/>
      <w:bookmarkStart w:id="49" w:name="_Toc15378460"/>
      <w:bookmarkStart w:id="50" w:name="_Toc15377213"/>
      <w:r>
        <w:rPr>
          <w:rFonts w:hint="eastAsia" w:ascii="仿宋" w:hAnsi="仿宋" w:eastAsia="仿宋"/>
          <w:b/>
          <w:sz w:val="32"/>
          <w:szCs w:val="32"/>
        </w:rPr>
        <w:t>2022年一般公共预算支出决算数为122.11万元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Style w:val="19"/>
          <w:rFonts w:hint="eastAsia" w:ascii="仿宋" w:hAnsi="仿宋" w:eastAsia="仿宋"/>
          <w:bCs/>
          <w:sz w:val="32"/>
          <w:szCs w:val="32"/>
        </w:rPr>
        <w:t>完成预算100</w:t>
      </w:r>
      <w:r>
        <w:rPr>
          <w:rStyle w:val="19"/>
          <w:rFonts w:ascii="仿宋" w:hAnsi="仿宋" w:eastAsia="仿宋"/>
          <w:bCs/>
          <w:sz w:val="32"/>
          <w:szCs w:val="32"/>
        </w:rPr>
        <w:t>%</w:t>
      </w:r>
      <w:r>
        <w:rPr>
          <w:rStyle w:val="19"/>
          <w:rFonts w:hint="eastAsia" w:ascii="仿宋" w:hAnsi="仿宋" w:eastAsia="仿宋"/>
          <w:bCs/>
          <w:sz w:val="32"/>
          <w:szCs w:val="32"/>
        </w:rPr>
        <w:t>。其中：</w:t>
      </w:r>
      <w:bookmarkEnd w:id="47"/>
      <w:bookmarkEnd w:id="48"/>
      <w:bookmarkEnd w:id="49"/>
      <w:bookmarkEnd w:id="50"/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Style w:val="19"/>
          <w:rFonts w:hint="eastAsia" w:ascii="仿宋" w:hAnsi="仿宋" w:eastAsia="仿宋"/>
          <w:bCs/>
          <w:sz w:val="32"/>
          <w:szCs w:val="32"/>
        </w:rPr>
        <w:t>1</w:t>
      </w:r>
      <w:r>
        <w:rPr>
          <w:rStyle w:val="19"/>
          <w:rFonts w:ascii="仿宋" w:hAnsi="仿宋" w:eastAsia="仿宋"/>
          <w:bCs/>
          <w:sz w:val="32"/>
          <w:szCs w:val="32"/>
        </w:rPr>
        <w:t>.</w:t>
      </w:r>
      <w:r>
        <w:rPr>
          <w:rStyle w:val="19"/>
          <w:rFonts w:hint="eastAsia" w:ascii="仿宋" w:hAnsi="仿宋" w:eastAsia="仿宋"/>
          <w:bCs/>
          <w:sz w:val="32"/>
          <w:szCs w:val="32"/>
        </w:rPr>
        <w:t>社会保障和就业（类）行政事业单位养老支出（款）  机关事业单位基本养老保险缴费支出（项）</w:t>
      </w:r>
      <w:r>
        <w:rPr>
          <w:rStyle w:val="19"/>
          <w:rFonts w:ascii="仿宋" w:hAnsi="仿宋" w:eastAsia="仿宋"/>
          <w:bCs/>
          <w:sz w:val="32"/>
          <w:szCs w:val="32"/>
        </w:rPr>
        <w:t>: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支出决算为8.23万元，完成预算100</w:t>
      </w:r>
      <w:r>
        <w:rPr>
          <w:rStyle w:val="19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。</w:t>
      </w:r>
      <w:r>
        <w:rPr>
          <w:rFonts w:ascii="仿宋" w:hAnsi="仿宋" w:eastAsia="仿宋"/>
          <w:b/>
          <w:sz w:val="32"/>
          <w:szCs w:val="32"/>
        </w:rPr>
        <w:t xml:space="preserve"> 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Style w:val="19"/>
          <w:rFonts w:hint="eastAsia" w:ascii="仿宋" w:hAnsi="仿宋" w:eastAsia="仿宋"/>
          <w:bCs/>
          <w:sz w:val="32"/>
          <w:szCs w:val="32"/>
        </w:rPr>
        <w:t>2</w:t>
      </w:r>
      <w:r>
        <w:rPr>
          <w:rStyle w:val="19"/>
          <w:rFonts w:ascii="仿宋" w:hAnsi="仿宋" w:eastAsia="仿宋"/>
          <w:bCs/>
          <w:sz w:val="32"/>
          <w:szCs w:val="32"/>
        </w:rPr>
        <w:t>.</w:t>
      </w:r>
      <w:r>
        <w:rPr>
          <w:rFonts w:hint="eastAsia" w:ascii="仿宋" w:hAnsi="仿宋" w:eastAsia="仿宋"/>
          <w:b/>
          <w:bCs/>
          <w:sz w:val="32"/>
          <w:szCs w:val="32"/>
        </w:rPr>
        <w:t>卫生健康</w:t>
      </w:r>
      <w:r>
        <w:rPr>
          <w:rStyle w:val="19"/>
          <w:rFonts w:hint="eastAsia" w:ascii="仿宋" w:hAnsi="仿宋" w:eastAsia="仿宋"/>
          <w:bCs/>
          <w:sz w:val="32"/>
          <w:szCs w:val="32"/>
        </w:rPr>
        <w:t>（类）基层医疗卫生机构（款）乡镇卫生院（项）</w:t>
      </w:r>
      <w:r>
        <w:rPr>
          <w:rStyle w:val="19"/>
          <w:rFonts w:ascii="仿宋" w:hAnsi="仿宋" w:eastAsia="仿宋"/>
          <w:bCs/>
          <w:sz w:val="32"/>
          <w:szCs w:val="32"/>
        </w:rPr>
        <w:t>: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支出决算为64.64万元，完成预算100</w:t>
      </w:r>
      <w:r>
        <w:rPr>
          <w:rStyle w:val="19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Style w:val="19"/>
          <w:rFonts w:ascii="仿宋" w:hAnsi="仿宋" w:eastAsia="仿宋"/>
          <w:b w:val="0"/>
          <w:bCs/>
          <w:sz w:val="32"/>
          <w:szCs w:val="32"/>
        </w:rPr>
      </w:pPr>
      <w:r>
        <w:rPr>
          <w:rStyle w:val="19"/>
          <w:rFonts w:hint="eastAsia" w:ascii="仿宋" w:hAnsi="仿宋" w:eastAsia="仿宋"/>
          <w:bCs/>
          <w:sz w:val="32"/>
          <w:szCs w:val="32"/>
        </w:rPr>
        <w:t>3</w:t>
      </w:r>
      <w:r>
        <w:rPr>
          <w:rStyle w:val="19"/>
          <w:rFonts w:ascii="仿宋" w:hAnsi="仿宋" w:eastAsia="仿宋"/>
          <w:bCs/>
          <w:sz w:val="32"/>
          <w:szCs w:val="32"/>
        </w:rPr>
        <w:t>.</w:t>
      </w:r>
      <w:r>
        <w:rPr>
          <w:rFonts w:hint="eastAsia" w:ascii="仿宋" w:hAnsi="仿宋" w:eastAsia="仿宋"/>
          <w:b/>
          <w:bCs/>
          <w:sz w:val="32"/>
          <w:szCs w:val="32"/>
        </w:rPr>
        <w:t>卫生健康</w:t>
      </w:r>
      <w:r>
        <w:rPr>
          <w:rStyle w:val="19"/>
          <w:rFonts w:hint="eastAsia" w:ascii="仿宋" w:hAnsi="仿宋" w:eastAsia="仿宋"/>
          <w:bCs/>
          <w:sz w:val="32"/>
          <w:szCs w:val="32"/>
        </w:rPr>
        <w:t>（类）基层医疗卫生机构（款）其他基层医疗卫生机构支出（项）</w:t>
      </w:r>
      <w:r>
        <w:rPr>
          <w:rStyle w:val="19"/>
          <w:rFonts w:ascii="仿宋" w:hAnsi="仿宋" w:eastAsia="仿宋"/>
          <w:bCs/>
          <w:sz w:val="32"/>
          <w:szCs w:val="32"/>
        </w:rPr>
        <w:t>: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支出决算为7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.01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万元，完成预算100</w:t>
      </w:r>
      <w:r>
        <w:rPr>
          <w:rStyle w:val="19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Style w:val="19"/>
          <w:rFonts w:ascii="仿宋" w:hAnsi="仿宋" w:eastAsia="仿宋"/>
          <w:b w:val="0"/>
          <w:bCs/>
          <w:sz w:val="32"/>
          <w:szCs w:val="32"/>
        </w:rPr>
      </w:pPr>
      <w:r>
        <w:rPr>
          <w:rStyle w:val="19"/>
          <w:rFonts w:hint="eastAsia" w:ascii="仿宋" w:hAnsi="仿宋" w:eastAsia="仿宋"/>
          <w:bCs/>
          <w:sz w:val="32"/>
          <w:szCs w:val="32"/>
        </w:rPr>
        <w:t>4</w:t>
      </w:r>
      <w:r>
        <w:rPr>
          <w:rStyle w:val="19"/>
          <w:rFonts w:ascii="仿宋" w:hAnsi="仿宋" w:eastAsia="仿宋"/>
          <w:bCs/>
          <w:sz w:val="32"/>
          <w:szCs w:val="32"/>
        </w:rPr>
        <w:t>.</w:t>
      </w:r>
      <w:r>
        <w:rPr>
          <w:rFonts w:hint="eastAsia" w:ascii="仿宋" w:hAnsi="仿宋" w:eastAsia="仿宋"/>
          <w:b/>
          <w:bCs/>
          <w:sz w:val="32"/>
          <w:szCs w:val="32"/>
        </w:rPr>
        <w:t>卫生健康</w:t>
      </w:r>
      <w:r>
        <w:rPr>
          <w:rStyle w:val="19"/>
          <w:rFonts w:hint="eastAsia" w:ascii="仿宋" w:hAnsi="仿宋" w:eastAsia="仿宋"/>
          <w:bCs/>
          <w:sz w:val="32"/>
          <w:szCs w:val="32"/>
        </w:rPr>
        <w:t>（类）公共卫生（款）基本公共卫生服务机构支出（项）</w:t>
      </w:r>
      <w:r>
        <w:rPr>
          <w:rStyle w:val="19"/>
          <w:rFonts w:ascii="仿宋" w:hAnsi="仿宋" w:eastAsia="仿宋"/>
          <w:bCs/>
          <w:sz w:val="32"/>
          <w:szCs w:val="32"/>
        </w:rPr>
        <w:t>: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支出决算为31.96万元，完成预算100</w:t>
      </w:r>
      <w:r>
        <w:rPr>
          <w:rStyle w:val="19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Style w:val="19"/>
          <w:rFonts w:hint="eastAsia" w:ascii="仿宋" w:hAnsi="仿宋" w:eastAsia="仿宋"/>
          <w:b w:val="0"/>
          <w:bCs/>
          <w:sz w:val="32"/>
          <w:szCs w:val="32"/>
        </w:rPr>
      </w:pPr>
      <w:r>
        <w:rPr>
          <w:rStyle w:val="19"/>
          <w:rFonts w:hint="eastAsia" w:ascii="仿宋" w:hAnsi="仿宋" w:eastAsia="仿宋"/>
          <w:bCs/>
          <w:sz w:val="32"/>
          <w:szCs w:val="32"/>
        </w:rPr>
        <w:t>5</w:t>
      </w:r>
      <w:r>
        <w:rPr>
          <w:rStyle w:val="19"/>
          <w:rFonts w:ascii="仿宋" w:hAnsi="仿宋" w:eastAsia="仿宋"/>
          <w:bCs/>
          <w:sz w:val="32"/>
          <w:szCs w:val="32"/>
        </w:rPr>
        <w:t>.</w:t>
      </w:r>
      <w:r>
        <w:rPr>
          <w:rFonts w:hint="eastAsia" w:ascii="仿宋" w:hAnsi="仿宋" w:eastAsia="仿宋"/>
          <w:b/>
          <w:bCs/>
          <w:sz w:val="32"/>
          <w:szCs w:val="32"/>
        </w:rPr>
        <w:t>卫生健康</w:t>
      </w:r>
      <w:r>
        <w:rPr>
          <w:rStyle w:val="19"/>
          <w:rFonts w:hint="eastAsia" w:ascii="仿宋" w:hAnsi="仿宋" w:eastAsia="仿宋"/>
          <w:bCs/>
          <w:sz w:val="32"/>
          <w:szCs w:val="32"/>
        </w:rPr>
        <w:t>（类）行政事业单位医疗（款）事业单位医疗（项）</w:t>
      </w:r>
      <w:r>
        <w:rPr>
          <w:rStyle w:val="19"/>
          <w:rFonts w:ascii="仿宋" w:hAnsi="仿宋" w:eastAsia="仿宋"/>
          <w:bCs/>
          <w:sz w:val="32"/>
          <w:szCs w:val="32"/>
        </w:rPr>
        <w:t>: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支出决算为4.11万元，完成预算100</w:t>
      </w:r>
      <w:r>
        <w:rPr>
          <w:rStyle w:val="19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。</w:t>
      </w:r>
    </w:p>
    <w:p>
      <w:pPr>
        <w:spacing w:line="600" w:lineRule="exact"/>
        <w:ind w:firstLine="643" w:firstLineChars="200"/>
      </w:pPr>
      <w:r>
        <w:rPr>
          <w:rStyle w:val="19"/>
          <w:rFonts w:hint="eastAsia" w:ascii="仿宋" w:hAnsi="仿宋" w:eastAsia="仿宋"/>
          <w:bCs/>
          <w:sz w:val="32"/>
          <w:szCs w:val="32"/>
        </w:rPr>
        <w:t>6</w:t>
      </w:r>
      <w:r>
        <w:rPr>
          <w:rStyle w:val="19"/>
          <w:rFonts w:ascii="仿宋" w:hAnsi="仿宋" w:eastAsia="仿宋"/>
          <w:bCs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</w:rPr>
        <w:t>住房保障支出</w:t>
      </w:r>
      <w:r>
        <w:rPr>
          <w:rStyle w:val="19"/>
          <w:rFonts w:hint="eastAsia" w:ascii="仿宋" w:hAnsi="仿宋" w:eastAsia="仿宋"/>
          <w:bCs/>
          <w:sz w:val="32"/>
          <w:szCs w:val="32"/>
        </w:rPr>
        <w:t>（类）住房改革支出（款）住房公积金（项）</w:t>
      </w:r>
      <w:r>
        <w:rPr>
          <w:rStyle w:val="19"/>
          <w:rFonts w:ascii="仿宋" w:hAnsi="仿宋" w:eastAsia="仿宋"/>
          <w:bCs/>
          <w:sz w:val="32"/>
          <w:szCs w:val="32"/>
        </w:rPr>
        <w:t>: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支出决算为6.17万元，完成预算100</w:t>
      </w:r>
      <w:r>
        <w:rPr>
          <w:rStyle w:val="19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。</w:t>
      </w:r>
    </w:p>
    <w:p>
      <w:pPr>
        <w:tabs>
          <w:tab w:val="right" w:pos="8306"/>
        </w:tabs>
        <w:spacing w:line="600" w:lineRule="exact"/>
        <w:ind w:firstLine="640"/>
        <w:outlineLvl w:val="1"/>
        <w:rPr>
          <w:rStyle w:val="30"/>
        </w:rPr>
      </w:pPr>
      <w:bookmarkStart w:id="51" w:name="_Toc15377214"/>
      <w:bookmarkStart w:id="52" w:name="_Toc15396608"/>
      <w:bookmarkStart w:id="53" w:name="_Toc147925705"/>
      <w:r>
        <w:rPr>
          <w:rFonts w:hint="eastAsia" w:ascii="黑体" w:eastAsia="黑体"/>
          <w:sz w:val="32"/>
          <w:szCs w:val="32"/>
        </w:rPr>
        <w:t>六</w:t>
      </w:r>
      <w:r>
        <w:rPr>
          <w:rFonts w:hint="eastAsia" w:ascii="黑体" w:eastAsia="黑体"/>
          <w:b/>
          <w:sz w:val="32"/>
          <w:szCs w:val="32"/>
        </w:rPr>
        <w:t>、</w:t>
      </w:r>
      <w:r>
        <w:rPr>
          <w:rFonts w:hint="eastAsia" w:ascii="黑体" w:hAnsi="黑体" w:eastAsia="黑体"/>
          <w:b/>
          <w:sz w:val="32"/>
          <w:szCs w:val="32"/>
        </w:rPr>
        <w:t>一</w:t>
      </w:r>
      <w:r>
        <w:rPr>
          <w:rStyle w:val="30"/>
          <w:rFonts w:hint="eastAsia" w:ascii="黑体" w:hAnsi="黑体" w:eastAsia="黑体"/>
          <w:b w:val="0"/>
        </w:rPr>
        <w:t>般公共预算财政拨款基本支出决算情况说明</w:t>
      </w:r>
      <w:bookmarkEnd w:id="51"/>
      <w:bookmarkEnd w:id="52"/>
      <w:bookmarkEnd w:id="53"/>
      <w:r>
        <w:rPr>
          <w:rStyle w:val="30"/>
          <w:rFonts w:ascii="黑体" w:hAnsi="黑体" w:eastAsia="黑体"/>
          <w:b w:val="0"/>
        </w:rPr>
        <w:tab/>
      </w: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22年一般公共预算财政拨款基本支出122.11万元，其中：</w:t>
      </w:r>
    </w:p>
    <w:p>
      <w:pPr>
        <w:spacing w:line="600" w:lineRule="exact"/>
        <w:ind w:firstLine="645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人员经费83.1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万元，主要包括：基本工资、津贴补贴、绩效工资、机关事业单位基本养老保险缴费、</w:t>
      </w:r>
      <w:r>
        <w:rPr>
          <w:rFonts w:hint="eastAsia" w:ascii="仿宋" w:hAnsi="仿宋" w:eastAsia="仿宋"/>
          <w:sz w:val="32"/>
          <w:szCs w:val="32"/>
          <w:lang w:eastAsia="zh-CN"/>
        </w:rPr>
        <w:t>职工基本医疗保险缴费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其他社会保障缴费、其他工资福利支出、住房公积金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38.99</w:t>
      </w:r>
      <w:r>
        <w:rPr>
          <w:rFonts w:hint="eastAsia" w:ascii="仿宋" w:hAnsi="仿宋" w:eastAsia="仿宋"/>
          <w:sz w:val="32"/>
          <w:szCs w:val="32"/>
        </w:rPr>
        <w:t>万元，主要包括：</w:t>
      </w:r>
      <w:r>
        <w:rPr>
          <w:rFonts w:hint="eastAsia" w:ascii="仿宋" w:hAnsi="仿宋" w:eastAsia="仿宋"/>
          <w:sz w:val="32"/>
          <w:szCs w:val="32"/>
          <w:lang w:eastAsia="zh-CN"/>
        </w:rPr>
        <w:t>专用材料费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公务接待费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其他交通费、其他商品和服务支出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600" w:lineRule="exact"/>
        <w:ind w:firstLine="640"/>
        <w:outlineLvl w:val="1"/>
        <w:rPr>
          <w:rStyle w:val="30"/>
          <w:rFonts w:ascii="黑体" w:hAnsi="黑体" w:eastAsia="黑体"/>
          <w:b w:val="0"/>
        </w:rPr>
      </w:pPr>
      <w:bookmarkStart w:id="54" w:name="_Toc15377215"/>
      <w:bookmarkStart w:id="55" w:name="_Toc147925706"/>
      <w:bookmarkStart w:id="56" w:name="_Toc15396609"/>
      <w:r>
        <w:rPr>
          <w:rFonts w:hint="eastAsia" w:ascii="黑体" w:eastAsia="黑体"/>
          <w:sz w:val="32"/>
          <w:szCs w:val="32"/>
        </w:rPr>
        <w:t>七、</w:t>
      </w:r>
      <w:r>
        <w:rPr>
          <w:rStyle w:val="30"/>
          <w:rFonts w:hint="eastAsia" w:ascii="黑体" w:hAnsi="黑体" w:eastAsia="黑体"/>
          <w:b w:val="0"/>
        </w:rPr>
        <w:t>财政拨款</w:t>
      </w:r>
      <w:r>
        <w:rPr>
          <w:rStyle w:val="30"/>
          <w:rFonts w:hint="eastAsia" w:ascii="黑体" w:hAnsi="黑体" w:eastAsia="黑体"/>
        </w:rPr>
        <w:t>“</w:t>
      </w:r>
      <w:r>
        <w:rPr>
          <w:rStyle w:val="30"/>
          <w:rFonts w:hint="eastAsia" w:ascii="黑体" w:hAnsi="黑体" w:eastAsia="黑体"/>
          <w:b w:val="0"/>
        </w:rPr>
        <w:t>三公”经费支出决算情况说明</w:t>
      </w:r>
      <w:bookmarkEnd w:id="54"/>
      <w:bookmarkEnd w:id="55"/>
      <w:bookmarkEnd w:id="56"/>
    </w:p>
    <w:p>
      <w:pPr>
        <w:spacing w:line="600" w:lineRule="exact"/>
        <w:ind w:firstLine="640"/>
        <w:outlineLvl w:val="2"/>
        <w:rPr>
          <w:rFonts w:ascii="仿宋" w:hAnsi="仿宋" w:eastAsia="仿宋"/>
          <w:b/>
          <w:sz w:val="32"/>
          <w:szCs w:val="32"/>
        </w:rPr>
      </w:pPr>
      <w:bookmarkStart w:id="57" w:name="_Toc147925707"/>
      <w:bookmarkStart w:id="58" w:name="_Toc15377216"/>
      <w:r>
        <w:rPr>
          <w:rFonts w:hint="eastAsia" w:ascii="仿宋" w:hAnsi="仿宋" w:eastAsia="仿宋"/>
          <w:b/>
          <w:sz w:val="32"/>
          <w:szCs w:val="32"/>
        </w:rPr>
        <w:t>（一）“三公”经费财政拨款支出决算总体情况说明</w:t>
      </w:r>
      <w:bookmarkEnd w:id="57"/>
      <w:bookmarkEnd w:id="58"/>
    </w:p>
    <w:p>
      <w:pPr>
        <w:spacing w:line="600" w:lineRule="exact"/>
        <w:ind w:firstLine="64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22年“三公”经费财政拨款支出决算为0.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万元，完成预算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52.63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2021年本单位未单独填报决算，由系统统一填报部门决算，故无法对比。</w:t>
      </w:r>
    </w:p>
    <w:p>
      <w:pPr>
        <w:spacing w:line="600" w:lineRule="exact"/>
        <w:ind w:firstLine="640"/>
        <w:outlineLvl w:val="2"/>
        <w:rPr>
          <w:rFonts w:ascii="仿宋" w:hAnsi="仿宋" w:eastAsia="仿宋"/>
          <w:b/>
          <w:sz w:val="32"/>
          <w:szCs w:val="32"/>
        </w:rPr>
      </w:pPr>
      <w:bookmarkStart w:id="59" w:name="_Toc15377217"/>
      <w:bookmarkStart w:id="60" w:name="_Toc147925708"/>
      <w:r>
        <w:rPr>
          <w:rFonts w:hint="eastAsia" w:ascii="仿宋" w:hAnsi="仿宋" w:eastAsia="仿宋"/>
          <w:b/>
          <w:sz w:val="32"/>
          <w:szCs w:val="32"/>
        </w:rPr>
        <w:t>（二）“三公”经费财政拨款支出决算具体情况说明</w:t>
      </w:r>
      <w:bookmarkEnd w:id="59"/>
      <w:bookmarkEnd w:id="60"/>
    </w:p>
    <w:p>
      <w:pPr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22年“三公”经费财政拨款支出决算中，因公出国（境）费支出决算0万元，占0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；公务用车购置及运行维护费支出决算0万元，占0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；公务接待费支出决算0.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万元，占100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。具体情况如下：</w:t>
      </w:r>
    </w:p>
    <w:p>
      <w:pPr>
        <w:pStyle w:val="2"/>
      </w:pPr>
      <w:r>
        <w:drawing>
          <wp:inline distT="0" distB="0" distL="114300" distR="114300">
            <wp:extent cx="4847590" cy="2695575"/>
            <wp:effectExtent l="4445" t="5080" r="5715" b="4445"/>
            <wp:docPr id="1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spacing w:line="600" w:lineRule="exact"/>
        <w:ind w:firstLine="64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ascii="仿宋_GB2312" w:eastAsia="仿宋_GB2312"/>
          <w:b/>
          <w:sz w:val="32"/>
          <w:szCs w:val="32"/>
        </w:rPr>
        <w:t>1.</w:t>
      </w:r>
      <w:r>
        <w:rPr>
          <w:rFonts w:hint="eastAsia" w:ascii="仿宋_GB2312" w:eastAsia="仿宋_GB2312"/>
          <w:b/>
          <w:sz w:val="32"/>
          <w:szCs w:val="32"/>
        </w:rPr>
        <w:t>因公出国（境）经费支出0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完成预算0</w:t>
      </w:r>
      <w:r>
        <w:rPr>
          <w:rStyle w:val="19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全年安排因公出国（境）团组0次，出国（境）0人。因公出国（境）支出决算比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21年增加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减少0万元，增长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下降0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2.</w:t>
      </w:r>
      <w:r>
        <w:rPr>
          <w:rFonts w:hint="eastAsia" w:ascii="仿宋_GB2312" w:eastAsia="仿宋_GB2312"/>
          <w:b/>
          <w:sz w:val="32"/>
          <w:szCs w:val="32"/>
        </w:rPr>
        <w:t>公务用车购置及运行维护费支出0</w:t>
      </w:r>
      <w:r>
        <w:rPr>
          <w:rFonts w:hint="eastAsia" w:ascii="仿宋_GB2312" w:eastAsia="仿宋_GB2312"/>
          <w:sz w:val="32"/>
          <w:szCs w:val="32"/>
        </w:rPr>
        <w:t>万元,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完成预算0</w:t>
      </w:r>
      <w:r>
        <w:rPr>
          <w:rStyle w:val="19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公务用车购置及运行维护费支出决算比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21年增加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减少0万元，增长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下降0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其中：</w:t>
      </w:r>
      <w:r>
        <w:rPr>
          <w:rFonts w:hint="eastAsia" w:ascii="仿宋_GB2312" w:eastAsia="仿宋_GB2312"/>
          <w:b/>
          <w:sz w:val="32"/>
          <w:szCs w:val="32"/>
        </w:rPr>
        <w:t>公务用车购置支出0</w:t>
      </w:r>
      <w:r>
        <w:rPr>
          <w:rFonts w:hint="eastAsia" w:ascii="仿宋_GB2312" w:eastAsia="仿宋_GB2312"/>
          <w:sz w:val="32"/>
          <w:szCs w:val="32"/>
        </w:rPr>
        <w:t>元。全年按规定更新购置公务用车0辆，其中：轿车0辆、金额0万元，越野车0辆、金额0万元，载客汽车0辆、金额0万元，主要用于…。截至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月底，单位共有公务用车0辆，其中：轿车0辆、越野车0辆、载客汽车0辆。</w:t>
      </w:r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公务用车运行维护费支出0</w:t>
      </w:r>
      <w:r>
        <w:rPr>
          <w:rFonts w:hint="eastAsia" w:ascii="仿宋_GB2312" w:eastAsia="仿宋_GB2312"/>
          <w:sz w:val="32"/>
          <w:szCs w:val="32"/>
        </w:rPr>
        <w:t>万元。主要用于</w:t>
      </w:r>
      <w:r>
        <w:rPr>
          <w:rFonts w:ascii="仿宋_GB2312" w:eastAsia="仿宋_GB2312"/>
          <w:sz w:val="32"/>
          <w:szCs w:val="32"/>
        </w:rPr>
        <w:t>…</w:t>
      </w:r>
      <w:r>
        <w:rPr>
          <w:rFonts w:hint="eastAsia" w:ascii="仿宋_GB2312" w:eastAsia="仿宋_GB2312"/>
          <w:sz w:val="32"/>
          <w:szCs w:val="32"/>
        </w:rPr>
        <w:t>（具体工作）等所需的公务用车燃料费、维修费、过路过桥费、保险费等支出。</w:t>
      </w:r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3.</w:t>
      </w:r>
      <w:r>
        <w:rPr>
          <w:rFonts w:hint="eastAsia" w:ascii="仿宋_GB2312" w:eastAsia="仿宋_GB2312"/>
          <w:b/>
          <w:sz w:val="32"/>
          <w:szCs w:val="32"/>
        </w:rPr>
        <w:t>公务接待费支出0.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完成预算100</w:t>
      </w:r>
      <w:r>
        <w:rPr>
          <w:rStyle w:val="19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2021年本单位未单独填报决算，由系统统一填报部门决算，故无法对比。</w:t>
      </w:r>
      <w:r>
        <w:rPr>
          <w:rFonts w:hint="eastAsia" w:ascii="仿宋_GB2312" w:eastAsia="仿宋_GB2312"/>
          <w:sz w:val="32"/>
          <w:szCs w:val="32"/>
        </w:rPr>
        <w:t>其中：</w:t>
      </w:r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国内公务接待支出0.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万元，主要用于开展业务活动开支的用餐费。国内公务接待8批次，23人次（不包括陪同人员），共计支出0.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万</w:t>
      </w:r>
      <w:r>
        <w:rPr>
          <w:rFonts w:hint="eastAsia" w:ascii="仿宋_GB2312" w:eastAsia="仿宋_GB2312"/>
          <w:sz w:val="32"/>
          <w:szCs w:val="32"/>
          <w:lang w:eastAsia="zh-CN"/>
        </w:rPr>
        <w:t>元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外事接待支出</w:t>
      </w:r>
      <w:r>
        <w:rPr>
          <w:rFonts w:hint="eastAsia" w:ascii="仿宋" w:hAnsi="仿宋" w:eastAsia="仿宋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万元，主要用于接待</w:t>
      </w:r>
      <w:r>
        <w:rPr>
          <w:rFonts w:ascii="仿宋_GB2312" w:eastAsia="仿宋_GB2312"/>
          <w:sz w:val="32"/>
          <w:szCs w:val="32"/>
        </w:rPr>
        <w:t>…</w:t>
      </w:r>
      <w:r>
        <w:rPr>
          <w:rFonts w:hint="eastAsia" w:ascii="仿宋_GB2312" w:eastAsia="仿宋_GB2312"/>
          <w:sz w:val="32"/>
          <w:szCs w:val="32"/>
        </w:rPr>
        <w:t>（具体项目）。外事接待0批次，0人次（不包括陪同人员），共计支出0万元。</w:t>
      </w:r>
    </w:p>
    <w:p>
      <w:pPr>
        <w:spacing w:line="600" w:lineRule="exact"/>
        <w:ind w:firstLine="640"/>
        <w:outlineLvl w:val="1"/>
        <w:rPr>
          <w:rFonts w:ascii="黑体" w:eastAsia="黑体"/>
          <w:sz w:val="32"/>
          <w:szCs w:val="32"/>
        </w:rPr>
      </w:pPr>
      <w:bookmarkStart w:id="61" w:name="_Toc15377218"/>
      <w:bookmarkStart w:id="62" w:name="_Toc15396610"/>
    </w:p>
    <w:p>
      <w:pPr>
        <w:spacing w:line="600" w:lineRule="exact"/>
        <w:ind w:firstLine="640"/>
        <w:outlineLvl w:val="1"/>
        <w:rPr>
          <w:rStyle w:val="30"/>
          <w:rFonts w:ascii="黑体" w:hAnsi="黑体" w:eastAsia="黑体"/>
        </w:rPr>
      </w:pPr>
      <w:bookmarkStart w:id="63" w:name="_Toc147925709"/>
      <w:r>
        <w:rPr>
          <w:rFonts w:hint="eastAsia" w:ascii="黑体" w:eastAsia="黑体"/>
          <w:sz w:val="32"/>
          <w:szCs w:val="32"/>
        </w:rPr>
        <w:t>八、</w:t>
      </w:r>
      <w:r>
        <w:rPr>
          <w:rStyle w:val="30"/>
          <w:rFonts w:hint="eastAsia" w:ascii="黑体" w:hAnsi="黑体" w:eastAsia="黑体"/>
          <w:b w:val="0"/>
        </w:rPr>
        <w:t>政府性基金预算支出决算情况说明</w:t>
      </w:r>
      <w:bookmarkEnd w:id="61"/>
      <w:bookmarkEnd w:id="62"/>
      <w:bookmarkEnd w:id="63"/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22年政府性基金预算财政拨款支出0万元。</w:t>
      </w:r>
    </w:p>
    <w:p>
      <w:pPr>
        <w:numPr>
          <w:ilvl w:val="0"/>
          <w:numId w:val="3"/>
        </w:numPr>
        <w:spacing w:line="600" w:lineRule="exact"/>
        <w:ind w:firstLine="640"/>
        <w:outlineLvl w:val="1"/>
        <w:rPr>
          <w:rStyle w:val="30"/>
          <w:rFonts w:ascii="黑体" w:hAnsi="黑体" w:eastAsia="黑体"/>
          <w:b w:val="0"/>
        </w:rPr>
      </w:pPr>
      <w:bookmarkStart w:id="64" w:name="_Toc147925710"/>
      <w:bookmarkStart w:id="65" w:name="_Toc15396611"/>
      <w:bookmarkStart w:id="66" w:name="_Toc15377219"/>
      <w:r>
        <w:rPr>
          <w:rStyle w:val="30"/>
          <w:rFonts w:hint="eastAsia" w:ascii="黑体" w:hAnsi="黑体" w:eastAsia="黑体"/>
          <w:b w:val="0"/>
        </w:rPr>
        <w:t>国有资本经营预算支出决算情况说明</w:t>
      </w:r>
      <w:bookmarkEnd w:id="64"/>
      <w:bookmarkEnd w:id="65"/>
      <w:bookmarkEnd w:id="66"/>
    </w:p>
    <w:p>
      <w:pPr>
        <w:spacing w:line="600" w:lineRule="exact"/>
        <w:ind w:firstLine="64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22年国有资本经营预算财政拨款支出0万元。</w:t>
      </w:r>
    </w:p>
    <w:p>
      <w:pPr>
        <w:numPr>
          <w:ilvl w:val="0"/>
          <w:numId w:val="3"/>
        </w:numPr>
        <w:spacing w:line="600" w:lineRule="exact"/>
        <w:ind w:firstLine="640"/>
        <w:outlineLvl w:val="1"/>
        <w:rPr>
          <w:rStyle w:val="30"/>
          <w:rFonts w:ascii="黑体" w:hAnsi="黑体" w:eastAsia="黑体"/>
          <w:b w:val="0"/>
        </w:rPr>
      </w:pPr>
      <w:bookmarkStart w:id="67" w:name="_Toc15396612"/>
      <w:bookmarkStart w:id="68" w:name="_Toc15377221"/>
      <w:bookmarkStart w:id="69" w:name="_Toc147925711"/>
      <w:r>
        <w:rPr>
          <w:rStyle w:val="30"/>
          <w:rFonts w:hint="eastAsia" w:ascii="黑体" w:hAnsi="黑体" w:eastAsia="黑体"/>
          <w:b w:val="0"/>
        </w:rPr>
        <w:t>其他重要事项的情况说明</w:t>
      </w:r>
      <w:bookmarkEnd w:id="67"/>
      <w:bookmarkEnd w:id="68"/>
      <w:bookmarkEnd w:id="69"/>
    </w:p>
    <w:p>
      <w:pPr>
        <w:spacing w:line="600" w:lineRule="exact"/>
        <w:ind w:firstLine="643" w:firstLineChars="200"/>
        <w:outlineLvl w:val="2"/>
        <w:rPr>
          <w:rFonts w:ascii="仿宋" w:hAnsi="仿宋" w:eastAsia="仿宋"/>
          <w:sz w:val="32"/>
          <w:szCs w:val="32"/>
        </w:rPr>
      </w:pPr>
      <w:bookmarkStart w:id="70" w:name="_Toc15377222"/>
      <w:bookmarkStart w:id="71" w:name="_Toc147925712"/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  <w:bookmarkEnd w:id="70"/>
      <w:bookmarkEnd w:id="71"/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22年，剑阁县樵店乡卫生院运行经费支出0万元，</w:t>
      </w:r>
      <w:r>
        <w:rPr>
          <w:rFonts w:hint="eastAsia" w:ascii="仿宋_GB2312" w:eastAsia="仿宋_GB2312"/>
          <w:sz w:val="32"/>
          <w:szCs w:val="32"/>
          <w:lang w:eastAsia="zh-CN"/>
        </w:rPr>
        <w:t>本单位属于事业单位，无机关运行经费。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jc w:val="left"/>
        <w:outlineLvl w:val="2"/>
        <w:rPr>
          <w:rFonts w:ascii="仿宋" w:hAnsi="仿宋" w:eastAsia="仿宋"/>
          <w:b/>
          <w:sz w:val="32"/>
          <w:szCs w:val="32"/>
        </w:rPr>
      </w:pPr>
      <w:bookmarkStart w:id="72" w:name="_Toc147925713"/>
      <w:bookmarkStart w:id="73" w:name="_Toc15377223"/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  <w:bookmarkEnd w:id="72"/>
      <w:bookmarkEnd w:id="73"/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22年，剑阁县樵店乡卫生院采购支出总额0万元，其中：政府采购货物支出0万元、政府采购工程支出0万元、政府采购服务支出0万元。授予中小企业合同金额0万元，占政府采购支出总额的0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，其中：授予小微企业合同金额0万元，占政府采购支出总额的0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jc w:val="left"/>
        <w:outlineLvl w:val="2"/>
        <w:rPr>
          <w:rFonts w:ascii="仿宋" w:hAnsi="仿宋" w:eastAsia="仿宋"/>
          <w:b/>
          <w:sz w:val="32"/>
          <w:szCs w:val="32"/>
        </w:rPr>
      </w:pPr>
      <w:bookmarkStart w:id="74" w:name="_Toc15377224"/>
      <w:bookmarkStart w:id="75" w:name="_Toc147925714"/>
      <w:r>
        <w:rPr>
          <w:rFonts w:hint="eastAsia" w:ascii="仿宋" w:hAnsi="仿宋" w:eastAsia="仿宋"/>
          <w:b/>
          <w:sz w:val="32"/>
          <w:szCs w:val="32"/>
        </w:rPr>
        <w:t>（三）国有资产占有使用情况</w:t>
      </w:r>
      <w:bookmarkEnd w:id="74"/>
      <w:bookmarkEnd w:id="75"/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hint="eastAsia" w:ascii="仿宋_GB2312" w:eastAsia="仿宋_GB2312"/>
          <w:sz w:val="32"/>
          <w:szCs w:val="32"/>
        </w:rPr>
        <w:t>日，剑阁县樵店乡卫生院共有车辆0辆，其中：主要领导干部用车0辆、机要通信用车0辆、应急保障用车0辆、其他用车0辆，单价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万元以上专用设备0台（套）。</w:t>
      </w:r>
    </w:p>
    <w:p>
      <w:pPr>
        <w:widowControl/>
        <w:jc w:val="left"/>
        <w:rPr>
          <w:rFonts w:ascii="仿宋_GB2312" w:eastAsia="仿宋_GB2312"/>
          <w:b/>
          <w:sz w:val="32"/>
          <w:szCs w:val="32"/>
        </w:rPr>
      </w:pPr>
    </w:p>
    <w:p>
      <w:pPr>
        <w:pStyle w:val="2"/>
        <w:rPr>
          <w:rFonts w:ascii="仿宋_GB2312" w:eastAsia="仿宋_GB2312"/>
          <w:b/>
          <w:sz w:val="32"/>
          <w:szCs w:val="32"/>
        </w:rPr>
      </w:pPr>
    </w:p>
    <w:p>
      <w:pPr>
        <w:pStyle w:val="16"/>
      </w:pPr>
    </w:p>
    <w:p>
      <w:pPr>
        <w:numPr>
          <w:ilvl w:val="0"/>
          <w:numId w:val="4"/>
        </w:numPr>
        <w:spacing w:line="600" w:lineRule="exact"/>
        <w:ind w:firstLine="660" w:firstLineChars="150"/>
        <w:jc w:val="center"/>
        <w:outlineLvl w:val="0"/>
        <w:rPr>
          <w:rStyle w:val="29"/>
          <w:rFonts w:ascii="黑体" w:hAnsi="黑体" w:eastAsia="黑体"/>
          <w:b w:val="0"/>
        </w:rPr>
      </w:pPr>
      <w:bookmarkStart w:id="76" w:name="_Toc147925716"/>
      <w:bookmarkStart w:id="77" w:name="_Toc15377225"/>
      <w:bookmarkStart w:id="78" w:name="_Toc15396613"/>
      <w:r>
        <w:rPr>
          <w:rFonts w:hint="eastAsia" w:ascii="黑体" w:hAnsi="黑体" w:eastAsia="黑体"/>
          <w:sz w:val="44"/>
          <w:szCs w:val="44"/>
        </w:rPr>
        <w:t>名</w:t>
      </w:r>
      <w:r>
        <w:rPr>
          <w:rStyle w:val="29"/>
          <w:rFonts w:hint="eastAsia" w:ascii="黑体" w:hAnsi="黑体" w:eastAsia="黑体"/>
          <w:b w:val="0"/>
        </w:rPr>
        <w:t>词解释</w:t>
      </w:r>
      <w:bookmarkEnd w:id="76"/>
      <w:bookmarkEnd w:id="77"/>
      <w:bookmarkEnd w:id="78"/>
    </w:p>
    <w:p>
      <w:pPr>
        <w:spacing w:line="600" w:lineRule="exact"/>
        <w:jc w:val="left"/>
        <w:rPr>
          <w:rFonts w:ascii="宋体"/>
          <w:b/>
          <w:sz w:val="44"/>
          <w:szCs w:val="44"/>
        </w:rPr>
      </w:pPr>
    </w:p>
    <w:p>
      <w:pPr>
        <w:pStyle w:val="27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bookmarkStart w:id="79" w:name="_Toc15396614"/>
      <w:bookmarkStart w:id="80" w:name="_Toc147925717"/>
      <w:bookmarkStart w:id="81" w:name="_Toc15377226"/>
      <w:r>
        <w:rPr>
          <w:rFonts w:ascii="仿宋_GB2312" w:eastAsia="仿宋_GB2312"/>
          <w:color w:val="auto"/>
          <w:sz w:val="32"/>
          <w:szCs w:val="32"/>
        </w:rPr>
        <w:t>1.</w:t>
      </w:r>
      <w:r>
        <w:rPr>
          <w:rFonts w:hint="eastAsia" w:ascii="仿宋_GB2312" w:eastAsia="仿宋_GB2312"/>
          <w:color w:val="auto"/>
          <w:sz w:val="32"/>
          <w:szCs w:val="32"/>
        </w:rPr>
        <w:t>财政拨款收入：指单位从同级财政部门取得的财政预算资金。</w:t>
      </w:r>
    </w:p>
    <w:p>
      <w:pPr>
        <w:pStyle w:val="27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2.</w:t>
      </w:r>
      <w:r>
        <w:rPr>
          <w:rFonts w:hint="eastAsia" w:ascii="仿宋_GB2312" w:eastAsia="仿宋_GB2312"/>
          <w:color w:val="auto"/>
          <w:sz w:val="32"/>
          <w:szCs w:val="32"/>
        </w:rPr>
        <w:t>事业收入：指事业单位开展专业业务活动及辅助活动取得的收入。</w:t>
      </w:r>
    </w:p>
    <w:p>
      <w:pPr>
        <w:pStyle w:val="27"/>
        <w:spacing w:line="560" w:lineRule="exact"/>
        <w:ind w:left="638" w:leftChars="304" w:firstLine="0" w:firstLineChars="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其他收入：指单位取得的除上述收入以外的各项收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入。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社会保障和就业（类）行政事业单位离退休（款）机关事业单位基本养老保险缴费支出（项）：指部门实施养老保险制度由单位缴纳的养老保险费的支出。</w:t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卫生健康（类）行政事业单位医疗（款）事业单位医疗（项）：指事业单位用于缴纳单位基本医疗保险支出。</w:t>
      </w:r>
    </w:p>
    <w:p>
      <w:pPr>
        <w:pStyle w:val="1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rightChars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住房保障（类）住房改革支出（款）住房公积金（项）：指按照《住房公积金管理条例》的规定，由单位及其在职职工缴存的长期住房储金。</w:t>
      </w:r>
    </w:p>
    <w:p>
      <w:pPr>
        <w:pStyle w:val="1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rightChars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卫生健康支出（类）公共卫生（款）基本公共卫生服务（项）：指基层医疗机构提供基本公共卫生服务支出。</w:t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卫生健康支出（类）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基层医疗机构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（款）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乡镇卫生院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（项）：指基层医疗机构提供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医疗服务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支出。</w:t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卫生健康支出（类）基层医疗卫生机构（款）其他基层医疗卫生机构支出（项）：指基层医疗机构村卫生室补助支出。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基本支出：指为保障机构正常运转、完成日常工作任务而发生的人员支出和公用支出。</w:t>
      </w:r>
    </w:p>
    <w:p>
      <w:pPr>
        <w:pStyle w:val="27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11</w:t>
      </w:r>
      <w:r>
        <w:rPr>
          <w:rFonts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“三公”经费：指单位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车辆购置支出（含车辆购置税）及租用费、燃料费、维修费、过路过桥费、保险费等支出；公务接待费反映单位按规定开支的各类公务接待（含外宾接待）支出。</w:t>
      </w: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bookmarkEnd w:id="79"/>
    <w:bookmarkEnd w:id="80"/>
    <w:p>
      <w:pPr>
        <w:spacing w:line="600" w:lineRule="exact"/>
        <w:jc w:val="both"/>
        <w:outlineLvl w:val="0"/>
        <w:rPr>
          <w:rFonts w:ascii="黑体" w:hAnsi="黑体" w:eastAsia="黑体"/>
          <w:sz w:val="44"/>
          <w:szCs w:val="44"/>
        </w:rPr>
      </w:pPr>
      <w:bookmarkStart w:id="82" w:name="_Toc15396618"/>
    </w:p>
    <w:p>
      <w:pPr>
        <w:spacing w:line="600" w:lineRule="exact"/>
        <w:jc w:val="center"/>
        <w:outlineLvl w:val="0"/>
        <w:rPr>
          <w:rFonts w:ascii="黑体" w:hAnsi="黑体" w:eastAsia="黑体"/>
          <w:sz w:val="44"/>
          <w:szCs w:val="44"/>
        </w:rPr>
      </w:pPr>
      <w:bookmarkStart w:id="83" w:name="_Toc147925721"/>
    </w:p>
    <w:p>
      <w:pPr>
        <w:spacing w:line="600" w:lineRule="exact"/>
        <w:jc w:val="center"/>
        <w:outlineLvl w:val="0"/>
        <w:rPr>
          <w:rFonts w:ascii="仿宋" w:hAnsi="仿宋" w:eastAsia="仿宋"/>
        </w:rPr>
      </w:pPr>
      <w:r>
        <w:rPr>
          <w:rFonts w:hint="eastAsia" w:ascii="黑体" w:hAnsi="黑体" w:eastAsia="黑体"/>
          <w:sz w:val="44"/>
          <w:szCs w:val="44"/>
        </w:rPr>
        <w:t>第</w:t>
      </w:r>
      <w:r>
        <w:rPr>
          <w:rStyle w:val="29"/>
          <w:rFonts w:hint="eastAsia" w:ascii="黑体" w:hAnsi="黑体" w:eastAsia="黑体"/>
          <w:b w:val="0"/>
          <w:lang w:eastAsia="zh-CN"/>
        </w:rPr>
        <w:t>四</w:t>
      </w:r>
      <w:r>
        <w:rPr>
          <w:rStyle w:val="29"/>
          <w:rFonts w:hint="eastAsia" w:ascii="黑体" w:hAnsi="黑体" w:eastAsia="黑体"/>
          <w:b w:val="0"/>
        </w:rPr>
        <w:t>部分 附表</w:t>
      </w:r>
      <w:bookmarkEnd w:id="81"/>
      <w:bookmarkEnd w:id="82"/>
      <w:bookmarkEnd w:id="83"/>
      <w:bookmarkStart w:id="84" w:name="_Toc15396619"/>
    </w:p>
    <w:p>
      <w:pPr>
        <w:pStyle w:val="5"/>
        <w:rPr>
          <w:rFonts w:ascii="仿宋" w:hAnsi="仿宋" w:eastAsia="仿宋"/>
        </w:rPr>
      </w:pPr>
      <w:bookmarkStart w:id="85" w:name="_Toc147925722"/>
      <w:r>
        <w:rPr>
          <w:rFonts w:hint="eastAsia" w:ascii="仿宋" w:hAnsi="仿宋" w:eastAsia="仿宋"/>
          <w:b w:val="0"/>
        </w:rPr>
        <w:t>一、收</w:t>
      </w:r>
      <w:r>
        <w:rPr>
          <w:rStyle w:val="30"/>
          <w:rFonts w:hint="eastAsia" w:ascii="仿宋" w:hAnsi="仿宋" w:eastAsia="仿宋"/>
          <w:b w:val="0"/>
          <w:bCs w:val="0"/>
        </w:rPr>
        <w:t>入支出决算总表</w:t>
      </w:r>
      <w:bookmarkEnd w:id="84"/>
      <w:bookmarkEnd w:id="85"/>
    </w:p>
    <w:p>
      <w:pPr>
        <w:pStyle w:val="5"/>
        <w:rPr>
          <w:rFonts w:ascii="仿宋" w:hAnsi="仿宋" w:eastAsia="仿宋"/>
        </w:rPr>
      </w:pPr>
      <w:bookmarkStart w:id="86" w:name="_Toc15396620"/>
      <w:bookmarkStart w:id="87" w:name="_Toc147925723"/>
      <w:r>
        <w:rPr>
          <w:rFonts w:hint="eastAsia" w:ascii="仿宋" w:hAnsi="仿宋" w:eastAsia="仿宋"/>
          <w:b w:val="0"/>
        </w:rPr>
        <w:t>二、收</w:t>
      </w:r>
      <w:r>
        <w:rPr>
          <w:rStyle w:val="30"/>
          <w:rFonts w:hint="eastAsia" w:ascii="仿宋" w:hAnsi="仿宋" w:eastAsia="仿宋"/>
          <w:b w:val="0"/>
          <w:bCs w:val="0"/>
        </w:rPr>
        <w:t>入决算表</w:t>
      </w:r>
      <w:bookmarkEnd w:id="86"/>
      <w:bookmarkEnd w:id="87"/>
    </w:p>
    <w:p>
      <w:pPr>
        <w:pStyle w:val="5"/>
        <w:rPr>
          <w:rFonts w:ascii="仿宋" w:hAnsi="仿宋" w:eastAsia="仿宋"/>
        </w:rPr>
      </w:pPr>
      <w:bookmarkStart w:id="88" w:name="_Toc147925724"/>
      <w:bookmarkStart w:id="89" w:name="_Toc15396621"/>
      <w:r>
        <w:rPr>
          <w:rStyle w:val="30"/>
          <w:rFonts w:hint="eastAsia" w:ascii="仿宋" w:hAnsi="仿宋" w:eastAsia="仿宋"/>
          <w:b w:val="0"/>
          <w:bCs w:val="0"/>
        </w:rPr>
        <w:t>三、</w:t>
      </w:r>
      <w:r>
        <w:rPr>
          <w:rFonts w:hint="eastAsia" w:ascii="仿宋" w:hAnsi="仿宋" w:eastAsia="仿宋"/>
          <w:b w:val="0"/>
        </w:rPr>
        <w:t>支</w:t>
      </w:r>
      <w:r>
        <w:rPr>
          <w:rStyle w:val="30"/>
          <w:rFonts w:hint="eastAsia" w:ascii="仿宋" w:hAnsi="仿宋" w:eastAsia="仿宋"/>
          <w:b w:val="0"/>
          <w:bCs w:val="0"/>
        </w:rPr>
        <w:t>出决算表</w:t>
      </w:r>
      <w:bookmarkEnd w:id="88"/>
      <w:bookmarkEnd w:id="89"/>
    </w:p>
    <w:p>
      <w:pPr>
        <w:pStyle w:val="5"/>
        <w:rPr>
          <w:rFonts w:ascii="仿宋" w:hAnsi="仿宋" w:eastAsia="仿宋"/>
          <w:b w:val="0"/>
        </w:rPr>
      </w:pPr>
      <w:bookmarkStart w:id="90" w:name="_Toc15396622"/>
      <w:bookmarkStart w:id="91" w:name="_Toc147925725"/>
      <w:r>
        <w:rPr>
          <w:rStyle w:val="30"/>
          <w:rFonts w:hint="eastAsia" w:ascii="仿宋" w:hAnsi="仿宋" w:eastAsia="仿宋"/>
          <w:b w:val="0"/>
          <w:bCs w:val="0"/>
        </w:rPr>
        <w:t>四、</w:t>
      </w:r>
      <w:r>
        <w:rPr>
          <w:rFonts w:hint="eastAsia" w:ascii="仿宋" w:hAnsi="仿宋" w:eastAsia="仿宋"/>
          <w:b w:val="0"/>
        </w:rPr>
        <w:t>财</w:t>
      </w:r>
      <w:r>
        <w:rPr>
          <w:rStyle w:val="30"/>
          <w:rFonts w:hint="eastAsia" w:ascii="仿宋" w:hAnsi="仿宋" w:eastAsia="仿宋"/>
          <w:b w:val="0"/>
          <w:bCs w:val="0"/>
        </w:rPr>
        <w:t>政拨款收入支出决算总表</w:t>
      </w:r>
      <w:bookmarkEnd w:id="90"/>
      <w:bookmarkEnd w:id="91"/>
    </w:p>
    <w:p>
      <w:pPr>
        <w:pStyle w:val="5"/>
        <w:rPr>
          <w:rStyle w:val="30"/>
          <w:rFonts w:ascii="仿宋" w:hAnsi="仿宋" w:eastAsia="仿宋"/>
          <w:b w:val="0"/>
          <w:bCs w:val="0"/>
        </w:rPr>
      </w:pPr>
      <w:bookmarkStart w:id="92" w:name="_Toc15396623"/>
      <w:bookmarkStart w:id="93" w:name="_Toc147925726"/>
      <w:r>
        <w:rPr>
          <w:rStyle w:val="30"/>
          <w:rFonts w:hint="eastAsia" w:ascii="仿宋" w:hAnsi="仿宋" w:eastAsia="仿宋"/>
          <w:b w:val="0"/>
          <w:bCs w:val="0"/>
        </w:rPr>
        <w:t>五、</w:t>
      </w:r>
      <w:r>
        <w:rPr>
          <w:rFonts w:hint="eastAsia" w:ascii="仿宋" w:hAnsi="仿宋" w:eastAsia="仿宋"/>
          <w:b w:val="0"/>
        </w:rPr>
        <w:t>财</w:t>
      </w:r>
      <w:r>
        <w:rPr>
          <w:rStyle w:val="30"/>
          <w:rFonts w:hint="eastAsia" w:ascii="仿宋" w:hAnsi="仿宋" w:eastAsia="仿宋"/>
          <w:b w:val="0"/>
          <w:bCs w:val="0"/>
        </w:rPr>
        <w:t>政拨款支出决算明细表</w:t>
      </w:r>
      <w:bookmarkEnd w:id="92"/>
      <w:bookmarkEnd w:id="93"/>
      <w:bookmarkStart w:id="94" w:name="_Toc15396624"/>
    </w:p>
    <w:p>
      <w:pPr>
        <w:pStyle w:val="5"/>
        <w:rPr>
          <w:rFonts w:ascii="仿宋" w:hAnsi="仿宋" w:eastAsia="仿宋"/>
        </w:rPr>
      </w:pPr>
      <w:bookmarkStart w:id="95" w:name="_Toc147925727"/>
      <w:r>
        <w:rPr>
          <w:rStyle w:val="30"/>
          <w:rFonts w:hint="eastAsia" w:ascii="仿宋" w:hAnsi="仿宋" w:eastAsia="仿宋"/>
          <w:b w:val="0"/>
          <w:bCs w:val="0"/>
        </w:rPr>
        <w:t>六、</w:t>
      </w:r>
      <w:r>
        <w:rPr>
          <w:rFonts w:hint="eastAsia" w:ascii="仿宋" w:hAnsi="仿宋" w:eastAsia="仿宋"/>
          <w:b w:val="0"/>
        </w:rPr>
        <w:t>一</w:t>
      </w:r>
      <w:r>
        <w:rPr>
          <w:rStyle w:val="30"/>
          <w:rFonts w:hint="eastAsia" w:ascii="仿宋" w:hAnsi="仿宋" w:eastAsia="仿宋"/>
          <w:b w:val="0"/>
          <w:bCs w:val="0"/>
        </w:rPr>
        <w:t>般公共预算财政拨款支出决算表</w:t>
      </w:r>
      <w:bookmarkEnd w:id="94"/>
      <w:bookmarkEnd w:id="95"/>
    </w:p>
    <w:p>
      <w:pPr>
        <w:pStyle w:val="5"/>
        <w:rPr>
          <w:rFonts w:ascii="仿宋" w:hAnsi="仿宋" w:eastAsia="仿宋"/>
        </w:rPr>
      </w:pPr>
      <w:bookmarkStart w:id="96" w:name="_Toc15396625"/>
      <w:bookmarkStart w:id="97" w:name="_Toc147925728"/>
      <w:r>
        <w:rPr>
          <w:rStyle w:val="30"/>
          <w:rFonts w:hint="eastAsia" w:ascii="仿宋" w:hAnsi="仿宋" w:eastAsia="仿宋"/>
          <w:b w:val="0"/>
          <w:bCs w:val="0"/>
        </w:rPr>
        <w:t>七、</w:t>
      </w:r>
      <w:r>
        <w:rPr>
          <w:rFonts w:hint="eastAsia" w:ascii="仿宋" w:hAnsi="仿宋" w:eastAsia="仿宋"/>
          <w:b w:val="0"/>
        </w:rPr>
        <w:t>一</w:t>
      </w:r>
      <w:r>
        <w:rPr>
          <w:rStyle w:val="30"/>
          <w:rFonts w:hint="eastAsia" w:ascii="仿宋" w:hAnsi="仿宋" w:eastAsia="仿宋"/>
          <w:b w:val="0"/>
          <w:bCs w:val="0"/>
        </w:rPr>
        <w:t>般公共预算财政拨款支出决算明细表</w:t>
      </w:r>
      <w:bookmarkEnd w:id="96"/>
      <w:bookmarkEnd w:id="97"/>
    </w:p>
    <w:p>
      <w:pPr>
        <w:pStyle w:val="5"/>
        <w:rPr>
          <w:rFonts w:ascii="仿宋" w:hAnsi="仿宋" w:eastAsia="仿宋"/>
        </w:rPr>
      </w:pPr>
      <w:bookmarkStart w:id="98" w:name="_Toc15396626"/>
      <w:bookmarkStart w:id="99" w:name="_Toc147925729"/>
      <w:r>
        <w:rPr>
          <w:rStyle w:val="30"/>
          <w:rFonts w:hint="eastAsia" w:ascii="仿宋" w:hAnsi="仿宋" w:eastAsia="仿宋"/>
          <w:b w:val="0"/>
          <w:bCs w:val="0"/>
        </w:rPr>
        <w:t>八、</w:t>
      </w:r>
      <w:r>
        <w:rPr>
          <w:rFonts w:hint="eastAsia" w:ascii="仿宋" w:hAnsi="仿宋" w:eastAsia="仿宋"/>
          <w:b w:val="0"/>
        </w:rPr>
        <w:t>一</w:t>
      </w:r>
      <w:r>
        <w:rPr>
          <w:rStyle w:val="30"/>
          <w:rFonts w:hint="eastAsia" w:ascii="仿宋" w:hAnsi="仿宋" w:eastAsia="仿宋"/>
          <w:b w:val="0"/>
          <w:bCs w:val="0"/>
        </w:rPr>
        <w:t>般公共预算财政拨款基本支出决算表</w:t>
      </w:r>
      <w:bookmarkEnd w:id="98"/>
      <w:bookmarkEnd w:id="99"/>
    </w:p>
    <w:p>
      <w:pPr>
        <w:pStyle w:val="5"/>
        <w:rPr>
          <w:rFonts w:ascii="仿宋" w:hAnsi="仿宋" w:eastAsia="仿宋"/>
        </w:rPr>
      </w:pPr>
      <w:bookmarkStart w:id="100" w:name="_Toc147925730"/>
      <w:bookmarkStart w:id="101" w:name="_Toc15396627"/>
      <w:r>
        <w:rPr>
          <w:rStyle w:val="30"/>
          <w:rFonts w:hint="eastAsia" w:ascii="仿宋" w:hAnsi="仿宋" w:eastAsia="仿宋"/>
          <w:b w:val="0"/>
          <w:bCs w:val="0"/>
        </w:rPr>
        <w:t>九、</w:t>
      </w:r>
      <w:r>
        <w:rPr>
          <w:rFonts w:hint="eastAsia" w:ascii="仿宋" w:hAnsi="仿宋" w:eastAsia="仿宋"/>
          <w:b w:val="0"/>
        </w:rPr>
        <w:t>一</w:t>
      </w:r>
      <w:r>
        <w:rPr>
          <w:rStyle w:val="30"/>
          <w:rFonts w:hint="eastAsia" w:ascii="仿宋" w:hAnsi="仿宋" w:eastAsia="仿宋"/>
          <w:b w:val="0"/>
          <w:bCs w:val="0"/>
        </w:rPr>
        <w:t>般公共预算财政拨款项目支出决算表</w:t>
      </w:r>
      <w:bookmarkEnd w:id="100"/>
      <w:bookmarkEnd w:id="101"/>
    </w:p>
    <w:p>
      <w:pPr>
        <w:pStyle w:val="5"/>
        <w:rPr>
          <w:rFonts w:ascii="仿宋" w:hAnsi="仿宋" w:eastAsia="仿宋"/>
        </w:rPr>
      </w:pPr>
      <w:bookmarkStart w:id="102" w:name="_Toc15396628"/>
      <w:bookmarkStart w:id="103" w:name="_Toc147925731"/>
      <w:r>
        <w:rPr>
          <w:rStyle w:val="30"/>
          <w:rFonts w:hint="eastAsia" w:ascii="仿宋" w:hAnsi="仿宋" w:eastAsia="仿宋"/>
          <w:b w:val="0"/>
          <w:bCs w:val="0"/>
        </w:rPr>
        <w:t>十、</w:t>
      </w:r>
      <w:bookmarkEnd w:id="102"/>
      <w:r>
        <w:rPr>
          <w:rFonts w:hint="eastAsia" w:ascii="仿宋" w:hAnsi="仿宋" w:eastAsia="仿宋"/>
          <w:b w:val="0"/>
        </w:rPr>
        <w:t>政</w:t>
      </w:r>
      <w:r>
        <w:rPr>
          <w:rStyle w:val="30"/>
          <w:rFonts w:hint="eastAsia" w:ascii="仿宋" w:hAnsi="仿宋" w:eastAsia="仿宋"/>
          <w:b w:val="0"/>
          <w:bCs w:val="0"/>
        </w:rPr>
        <w:t>府性基金预算财政拨款收入支出决算表</w:t>
      </w:r>
      <w:bookmarkEnd w:id="103"/>
    </w:p>
    <w:p>
      <w:pPr>
        <w:pStyle w:val="5"/>
        <w:rPr>
          <w:rFonts w:ascii="仿宋" w:hAnsi="仿宋" w:eastAsia="仿宋"/>
        </w:rPr>
      </w:pPr>
      <w:bookmarkStart w:id="104" w:name="_Toc15396629"/>
      <w:bookmarkStart w:id="105" w:name="_Toc147925732"/>
      <w:r>
        <w:rPr>
          <w:rStyle w:val="30"/>
          <w:rFonts w:hint="eastAsia" w:ascii="仿宋" w:hAnsi="仿宋" w:eastAsia="仿宋"/>
          <w:b w:val="0"/>
          <w:bCs w:val="0"/>
        </w:rPr>
        <w:t>十一、</w:t>
      </w:r>
      <w:bookmarkEnd w:id="104"/>
      <w:r>
        <w:rPr>
          <w:rFonts w:hint="eastAsia" w:ascii="仿宋" w:hAnsi="仿宋" w:eastAsia="仿宋"/>
          <w:b w:val="0"/>
        </w:rPr>
        <w:t>国</w:t>
      </w:r>
      <w:r>
        <w:rPr>
          <w:rStyle w:val="30"/>
          <w:rFonts w:hint="eastAsia" w:ascii="仿宋" w:hAnsi="仿宋" w:eastAsia="仿宋"/>
          <w:b w:val="0"/>
          <w:bCs w:val="0"/>
        </w:rPr>
        <w:t>有资本经营预算财政拨款收入支出决算表</w:t>
      </w:r>
      <w:bookmarkEnd w:id="105"/>
    </w:p>
    <w:p>
      <w:pPr>
        <w:pStyle w:val="5"/>
        <w:rPr>
          <w:rFonts w:ascii="仿宋" w:hAnsi="仿宋" w:eastAsia="仿宋"/>
        </w:rPr>
      </w:pPr>
      <w:bookmarkStart w:id="106" w:name="_Toc15396630"/>
      <w:bookmarkStart w:id="107" w:name="_Toc147925733"/>
      <w:r>
        <w:rPr>
          <w:rStyle w:val="30"/>
          <w:rFonts w:hint="eastAsia" w:ascii="仿宋" w:hAnsi="仿宋" w:eastAsia="仿宋"/>
          <w:b w:val="0"/>
          <w:bCs w:val="0"/>
        </w:rPr>
        <w:t>十二、</w:t>
      </w:r>
      <w:bookmarkEnd w:id="106"/>
      <w:r>
        <w:rPr>
          <w:rStyle w:val="30"/>
          <w:rFonts w:hint="eastAsia" w:ascii="仿宋" w:hAnsi="仿宋" w:eastAsia="仿宋"/>
          <w:b w:val="0"/>
          <w:bCs w:val="0"/>
        </w:rPr>
        <w:t>国有资本经营预算财政拨款支出决算表</w:t>
      </w:r>
      <w:bookmarkEnd w:id="107"/>
    </w:p>
    <w:p>
      <w:pPr>
        <w:pStyle w:val="5"/>
        <w:rPr>
          <w:rFonts w:eastAsia="仿宋"/>
        </w:rPr>
      </w:pPr>
      <w:bookmarkStart w:id="108" w:name="_Toc15396631"/>
      <w:bookmarkStart w:id="109" w:name="_Toc147925734"/>
      <w:r>
        <w:rPr>
          <w:rStyle w:val="30"/>
          <w:rFonts w:hint="eastAsia" w:ascii="仿宋" w:hAnsi="仿宋" w:eastAsia="仿宋"/>
          <w:b w:val="0"/>
          <w:bCs w:val="0"/>
        </w:rPr>
        <w:t>十三、</w:t>
      </w:r>
      <w:bookmarkEnd w:id="108"/>
      <w:r>
        <w:rPr>
          <w:rStyle w:val="30"/>
          <w:rFonts w:hint="eastAsia" w:ascii="仿宋" w:hAnsi="仿宋" w:eastAsia="仿宋"/>
          <w:b w:val="0"/>
          <w:bCs w:val="0"/>
        </w:rPr>
        <w:t>财政拨款“三公”经费支出决算表</w:t>
      </w:r>
      <w:bookmarkEnd w:id="109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94781956"/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652CEC"/>
    <w:multiLevelType w:val="singleLevel"/>
    <w:tmpl w:val="CF652CEC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2FA047D"/>
    <w:multiLevelType w:val="singleLevel"/>
    <w:tmpl w:val="E2FA047D"/>
    <w:lvl w:ilvl="0" w:tentative="0">
      <w:start w:val="3"/>
      <w:numFmt w:val="chineseCounting"/>
      <w:suff w:val="space"/>
      <w:lvlText w:val="第%1部分"/>
      <w:lvlJc w:val="left"/>
      <w:rPr>
        <w:rFonts w:hint="eastAsia" w:ascii="黑体" w:hAnsi="黑体" w:eastAsia="黑体" w:cs="黑体"/>
        <w:sz w:val="44"/>
        <w:szCs w:val="44"/>
      </w:rPr>
    </w:lvl>
  </w:abstractNum>
  <w:abstractNum w:abstractNumId="2">
    <w:nsid w:val="1272550B"/>
    <w:multiLevelType w:val="multilevel"/>
    <w:tmpl w:val="1272550B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818A09A"/>
    <w:multiLevelType w:val="singleLevel"/>
    <w:tmpl w:val="3818A09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Y1ZjZhOThhOGZiYzQwNWYwZTFhMmI3MTU3Nzg2NjEifQ=="/>
  </w:docVars>
  <w:rsids>
    <w:rsidRoot w:val="00F1361C"/>
    <w:rsid w:val="000222C6"/>
    <w:rsid w:val="0002549F"/>
    <w:rsid w:val="000409D9"/>
    <w:rsid w:val="0004452F"/>
    <w:rsid w:val="000468DB"/>
    <w:rsid w:val="0006487A"/>
    <w:rsid w:val="00065F8F"/>
    <w:rsid w:val="00070A43"/>
    <w:rsid w:val="000768F2"/>
    <w:rsid w:val="0009184B"/>
    <w:rsid w:val="00094236"/>
    <w:rsid w:val="0009593C"/>
    <w:rsid w:val="00097322"/>
    <w:rsid w:val="00097EBA"/>
    <w:rsid w:val="000A6A92"/>
    <w:rsid w:val="000B047F"/>
    <w:rsid w:val="000B5923"/>
    <w:rsid w:val="000B5A48"/>
    <w:rsid w:val="000B6FF3"/>
    <w:rsid w:val="000C3467"/>
    <w:rsid w:val="000C3CA6"/>
    <w:rsid w:val="000D1267"/>
    <w:rsid w:val="000D1D50"/>
    <w:rsid w:val="000D5782"/>
    <w:rsid w:val="000E6613"/>
    <w:rsid w:val="000E7119"/>
    <w:rsid w:val="00112434"/>
    <w:rsid w:val="00114E9B"/>
    <w:rsid w:val="00142216"/>
    <w:rsid w:val="00144D6A"/>
    <w:rsid w:val="0014729F"/>
    <w:rsid w:val="00157BAB"/>
    <w:rsid w:val="001654D1"/>
    <w:rsid w:val="00174518"/>
    <w:rsid w:val="0018106D"/>
    <w:rsid w:val="001877A7"/>
    <w:rsid w:val="00191536"/>
    <w:rsid w:val="00196687"/>
    <w:rsid w:val="001A3C1B"/>
    <w:rsid w:val="001C0962"/>
    <w:rsid w:val="001D7531"/>
    <w:rsid w:val="001E737D"/>
    <w:rsid w:val="001F0592"/>
    <w:rsid w:val="001F7506"/>
    <w:rsid w:val="002006CD"/>
    <w:rsid w:val="00200C69"/>
    <w:rsid w:val="00202B36"/>
    <w:rsid w:val="00204B7A"/>
    <w:rsid w:val="00204CDE"/>
    <w:rsid w:val="0021101A"/>
    <w:rsid w:val="00220536"/>
    <w:rsid w:val="00235629"/>
    <w:rsid w:val="0025532C"/>
    <w:rsid w:val="00260C38"/>
    <w:rsid w:val="002616C0"/>
    <w:rsid w:val="00265372"/>
    <w:rsid w:val="002662AA"/>
    <w:rsid w:val="00280496"/>
    <w:rsid w:val="00294DC9"/>
    <w:rsid w:val="00295495"/>
    <w:rsid w:val="002A31DE"/>
    <w:rsid w:val="002B2613"/>
    <w:rsid w:val="002C7CD4"/>
    <w:rsid w:val="002D6D05"/>
    <w:rsid w:val="002F1818"/>
    <w:rsid w:val="002F567B"/>
    <w:rsid w:val="00302634"/>
    <w:rsid w:val="003216A9"/>
    <w:rsid w:val="00335A74"/>
    <w:rsid w:val="0036561B"/>
    <w:rsid w:val="0037013F"/>
    <w:rsid w:val="00380C92"/>
    <w:rsid w:val="003A484F"/>
    <w:rsid w:val="003A4883"/>
    <w:rsid w:val="003B0BE0"/>
    <w:rsid w:val="003B0C1B"/>
    <w:rsid w:val="003B688C"/>
    <w:rsid w:val="003C0291"/>
    <w:rsid w:val="003C39AE"/>
    <w:rsid w:val="003C7B60"/>
    <w:rsid w:val="003D0C0F"/>
    <w:rsid w:val="003D1FB2"/>
    <w:rsid w:val="003D66DA"/>
    <w:rsid w:val="003E1310"/>
    <w:rsid w:val="003E6F55"/>
    <w:rsid w:val="00406254"/>
    <w:rsid w:val="004223DE"/>
    <w:rsid w:val="00434489"/>
    <w:rsid w:val="00437085"/>
    <w:rsid w:val="00443880"/>
    <w:rsid w:val="004464F4"/>
    <w:rsid w:val="00471401"/>
    <w:rsid w:val="00473F31"/>
    <w:rsid w:val="0048263A"/>
    <w:rsid w:val="00487E5D"/>
    <w:rsid w:val="004A711F"/>
    <w:rsid w:val="004B199D"/>
    <w:rsid w:val="004B4690"/>
    <w:rsid w:val="004D7BF4"/>
    <w:rsid w:val="004E0A2D"/>
    <w:rsid w:val="004E206B"/>
    <w:rsid w:val="004E6DF7"/>
    <w:rsid w:val="004F0FBD"/>
    <w:rsid w:val="00505A47"/>
    <w:rsid w:val="00512FDA"/>
    <w:rsid w:val="00520DA0"/>
    <w:rsid w:val="005664BB"/>
    <w:rsid w:val="00566FFA"/>
    <w:rsid w:val="0057481D"/>
    <w:rsid w:val="0058486E"/>
    <w:rsid w:val="00585B33"/>
    <w:rsid w:val="00587AA4"/>
    <w:rsid w:val="0059014D"/>
    <w:rsid w:val="005B5C64"/>
    <w:rsid w:val="005C3F67"/>
    <w:rsid w:val="005C5337"/>
    <w:rsid w:val="005C6BD0"/>
    <w:rsid w:val="005D1C8B"/>
    <w:rsid w:val="005D2D6F"/>
    <w:rsid w:val="005D468D"/>
    <w:rsid w:val="005D5CED"/>
    <w:rsid w:val="005F1A4C"/>
    <w:rsid w:val="00605688"/>
    <w:rsid w:val="006070AF"/>
    <w:rsid w:val="00607E6C"/>
    <w:rsid w:val="006101B1"/>
    <w:rsid w:val="00614E44"/>
    <w:rsid w:val="0062270A"/>
    <w:rsid w:val="00622830"/>
    <w:rsid w:val="00623DA0"/>
    <w:rsid w:val="00630AEF"/>
    <w:rsid w:val="00630E31"/>
    <w:rsid w:val="006325F8"/>
    <w:rsid w:val="00633463"/>
    <w:rsid w:val="00634C9A"/>
    <w:rsid w:val="006440E4"/>
    <w:rsid w:val="006448DD"/>
    <w:rsid w:val="00660B5C"/>
    <w:rsid w:val="0066343B"/>
    <w:rsid w:val="00664777"/>
    <w:rsid w:val="0067089C"/>
    <w:rsid w:val="006748A4"/>
    <w:rsid w:val="00681A31"/>
    <w:rsid w:val="00683E73"/>
    <w:rsid w:val="006A3141"/>
    <w:rsid w:val="006A5E34"/>
    <w:rsid w:val="006B2422"/>
    <w:rsid w:val="006B2B9A"/>
    <w:rsid w:val="006C1937"/>
    <w:rsid w:val="006F020C"/>
    <w:rsid w:val="00711E8F"/>
    <w:rsid w:val="007127B7"/>
    <w:rsid w:val="0071798E"/>
    <w:rsid w:val="007416B6"/>
    <w:rsid w:val="00746F48"/>
    <w:rsid w:val="0075404D"/>
    <w:rsid w:val="0076182A"/>
    <w:rsid w:val="00767B7E"/>
    <w:rsid w:val="007770C3"/>
    <w:rsid w:val="00784D24"/>
    <w:rsid w:val="00785FBA"/>
    <w:rsid w:val="00786E4A"/>
    <w:rsid w:val="007875EB"/>
    <w:rsid w:val="0079426B"/>
    <w:rsid w:val="007D1682"/>
    <w:rsid w:val="007D312A"/>
    <w:rsid w:val="007D3F19"/>
    <w:rsid w:val="007E23B0"/>
    <w:rsid w:val="007E23E5"/>
    <w:rsid w:val="007F1991"/>
    <w:rsid w:val="007F2C2F"/>
    <w:rsid w:val="007F55FC"/>
    <w:rsid w:val="007F5665"/>
    <w:rsid w:val="00800112"/>
    <w:rsid w:val="00813348"/>
    <w:rsid w:val="008253BB"/>
    <w:rsid w:val="0083706E"/>
    <w:rsid w:val="008408F6"/>
    <w:rsid w:val="008423A5"/>
    <w:rsid w:val="00850625"/>
    <w:rsid w:val="00853718"/>
    <w:rsid w:val="00855221"/>
    <w:rsid w:val="00860645"/>
    <w:rsid w:val="00864CB2"/>
    <w:rsid w:val="00871F71"/>
    <w:rsid w:val="00872FD8"/>
    <w:rsid w:val="00885AF4"/>
    <w:rsid w:val="008939CD"/>
    <w:rsid w:val="008A23EE"/>
    <w:rsid w:val="008B0C65"/>
    <w:rsid w:val="008B768C"/>
    <w:rsid w:val="008C4DB1"/>
    <w:rsid w:val="008C4EAF"/>
    <w:rsid w:val="008C5176"/>
    <w:rsid w:val="008C7FD0"/>
    <w:rsid w:val="008E1DE7"/>
    <w:rsid w:val="008E707C"/>
    <w:rsid w:val="00900B08"/>
    <w:rsid w:val="00902155"/>
    <w:rsid w:val="00902FA3"/>
    <w:rsid w:val="00923564"/>
    <w:rsid w:val="0092392E"/>
    <w:rsid w:val="009315F9"/>
    <w:rsid w:val="00933499"/>
    <w:rsid w:val="00935C98"/>
    <w:rsid w:val="00946945"/>
    <w:rsid w:val="00951248"/>
    <w:rsid w:val="0095152F"/>
    <w:rsid w:val="00954C49"/>
    <w:rsid w:val="00955E37"/>
    <w:rsid w:val="009575B9"/>
    <w:rsid w:val="0096294D"/>
    <w:rsid w:val="0097099F"/>
    <w:rsid w:val="00971997"/>
    <w:rsid w:val="00971FFC"/>
    <w:rsid w:val="0098660A"/>
    <w:rsid w:val="009931C3"/>
    <w:rsid w:val="00995A8B"/>
    <w:rsid w:val="009B2C43"/>
    <w:rsid w:val="009B4EAE"/>
    <w:rsid w:val="009B7573"/>
    <w:rsid w:val="009C22F4"/>
    <w:rsid w:val="009C2A4B"/>
    <w:rsid w:val="009C2E98"/>
    <w:rsid w:val="009D3447"/>
    <w:rsid w:val="009D4711"/>
    <w:rsid w:val="009F1185"/>
    <w:rsid w:val="009F18CD"/>
    <w:rsid w:val="009F2A13"/>
    <w:rsid w:val="009F7527"/>
    <w:rsid w:val="00A04EB0"/>
    <w:rsid w:val="00A13CC1"/>
    <w:rsid w:val="00A16847"/>
    <w:rsid w:val="00A237D8"/>
    <w:rsid w:val="00A268C4"/>
    <w:rsid w:val="00A307CD"/>
    <w:rsid w:val="00A331C8"/>
    <w:rsid w:val="00A40A00"/>
    <w:rsid w:val="00A4142F"/>
    <w:rsid w:val="00A422EB"/>
    <w:rsid w:val="00A45BB7"/>
    <w:rsid w:val="00A56DF2"/>
    <w:rsid w:val="00A56E6E"/>
    <w:rsid w:val="00A64CF3"/>
    <w:rsid w:val="00A67AB5"/>
    <w:rsid w:val="00A733B2"/>
    <w:rsid w:val="00A741C2"/>
    <w:rsid w:val="00A91760"/>
    <w:rsid w:val="00A93B00"/>
    <w:rsid w:val="00A93C21"/>
    <w:rsid w:val="00AB64C9"/>
    <w:rsid w:val="00AC3C6A"/>
    <w:rsid w:val="00AD5620"/>
    <w:rsid w:val="00AD656B"/>
    <w:rsid w:val="00AD7C1B"/>
    <w:rsid w:val="00AE16BA"/>
    <w:rsid w:val="00AE1EBE"/>
    <w:rsid w:val="00AE4805"/>
    <w:rsid w:val="00B03C9D"/>
    <w:rsid w:val="00B060AE"/>
    <w:rsid w:val="00B10517"/>
    <w:rsid w:val="00B14E76"/>
    <w:rsid w:val="00B161B8"/>
    <w:rsid w:val="00B2048C"/>
    <w:rsid w:val="00B310B9"/>
    <w:rsid w:val="00B35F3F"/>
    <w:rsid w:val="00B36CBB"/>
    <w:rsid w:val="00B425E0"/>
    <w:rsid w:val="00B440AA"/>
    <w:rsid w:val="00B44B70"/>
    <w:rsid w:val="00B53C56"/>
    <w:rsid w:val="00B57DAF"/>
    <w:rsid w:val="00B61D72"/>
    <w:rsid w:val="00B77EA6"/>
    <w:rsid w:val="00B81598"/>
    <w:rsid w:val="00B841F1"/>
    <w:rsid w:val="00B873A9"/>
    <w:rsid w:val="00B944D6"/>
    <w:rsid w:val="00BB4DF0"/>
    <w:rsid w:val="00BC289F"/>
    <w:rsid w:val="00BC2D50"/>
    <w:rsid w:val="00BC5361"/>
    <w:rsid w:val="00BC5460"/>
    <w:rsid w:val="00BC6B50"/>
    <w:rsid w:val="00BD0E25"/>
    <w:rsid w:val="00BF50B7"/>
    <w:rsid w:val="00BF5BD6"/>
    <w:rsid w:val="00C03E31"/>
    <w:rsid w:val="00C1671B"/>
    <w:rsid w:val="00C33E72"/>
    <w:rsid w:val="00C354B2"/>
    <w:rsid w:val="00C35554"/>
    <w:rsid w:val="00C42709"/>
    <w:rsid w:val="00C533CC"/>
    <w:rsid w:val="00C56F3A"/>
    <w:rsid w:val="00C5751C"/>
    <w:rsid w:val="00C61BFC"/>
    <w:rsid w:val="00C62B85"/>
    <w:rsid w:val="00C65438"/>
    <w:rsid w:val="00C712B6"/>
    <w:rsid w:val="00C87FD8"/>
    <w:rsid w:val="00C91381"/>
    <w:rsid w:val="00C91CBB"/>
    <w:rsid w:val="00CB4E70"/>
    <w:rsid w:val="00CC09B6"/>
    <w:rsid w:val="00CC666F"/>
    <w:rsid w:val="00CD1E3F"/>
    <w:rsid w:val="00CE44F6"/>
    <w:rsid w:val="00CE49DA"/>
    <w:rsid w:val="00CE7B61"/>
    <w:rsid w:val="00D00095"/>
    <w:rsid w:val="00D114F0"/>
    <w:rsid w:val="00D20620"/>
    <w:rsid w:val="00D254F7"/>
    <w:rsid w:val="00D26091"/>
    <w:rsid w:val="00D2685C"/>
    <w:rsid w:val="00D34E7C"/>
    <w:rsid w:val="00D35489"/>
    <w:rsid w:val="00D36AFE"/>
    <w:rsid w:val="00D44423"/>
    <w:rsid w:val="00D51276"/>
    <w:rsid w:val="00D7035F"/>
    <w:rsid w:val="00DA634F"/>
    <w:rsid w:val="00DA65AC"/>
    <w:rsid w:val="00DB1913"/>
    <w:rsid w:val="00DC410D"/>
    <w:rsid w:val="00DC5A81"/>
    <w:rsid w:val="00DC68CA"/>
    <w:rsid w:val="00DC7CBA"/>
    <w:rsid w:val="00DD73B7"/>
    <w:rsid w:val="00DF28BC"/>
    <w:rsid w:val="00DF34B9"/>
    <w:rsid w:val="00E01053"/>
    <w:rsid w:val="00E07ACF"/>
    <w:rsid w:val="00E331A1"/>
    <w:rsid w:val="00E33202"/>
    <w:rsid w:val="00E336A9"/>
    <w:rsid w:val="00E472B1"/>
    <w:rsid w:val="00E50624"/>
    <w:rsid w:val="00E568DF"/>
    <w:rsid w:val="00E613DA"/>
    <w:rsid w:val="00E64269"/>
    <w:rsid w:val="00E82267"/>
    <w:rsid w:val="00E853CE"/>
    <w:rsid w:val="00E867B6"/>
    <w:rsid w:val="00EA010F"/>
    <w:rsid w:val="00ED1B63"/>
    <w:rsid w:val="00ED3C1F"/>
    <w:rsid w:val="00ED4085"/>
    <w:rsid w:val="00ED420E"/>
    <w:rsid w:val="00ED6FBE"/>
    <w:rsid w:val="00EE2F57"/>
    <w:rsid w:val="00EF4C34"/>
    <w:rsid w:val="00EF77C6"/>
    <w:rsid w:val="00F05438"/>
    <w:rsid w:val="00F1361C"/>
    <w:rsid w:val="00F156F0"/>
    <w:rsid w:val="00F160C7"/>
    <w:rsid w:val="00F2408F"/>
    <w:rsid w:val="00F240E9"/>
    <w:rsid w:val="00F36D8F"/>
    <w:rsid w:val="00F417B1"/>
    <w:rsid w:val="00F41F2D"/>
    <w:rsid w:val="00F45853"/>
    <w:rsid w:val="00F602DF"/>
    <w:rsid w:val="00F754A1"/>
    <w:rsid w:val="00F81FD9"/>
    <w:rsid w:val="00F841AA"/>
    <w:rsid w:val="00F84A94"/>
    <w:rsid w:val="00F87E96"/>
    <w:rsid w:val="00FA23E8"/>
    <w:rsid w:val="00FD3CC1"/>
    <w:rsid w:val="00FF1E02"/>
    <w:rsid w:val="00FF30B4"/>
    <w:rsid w:val="053A62B5"/>
    <w:rsid w:val="05440688"/>
    <w:rsid w:val="06A81AFB"/>
    <w:rsid w:val="073408A5"/>
    <w:rsid w:val="0A2032A3"/>
    <w:rsid w:val="0B8A37D8"/>
    <w:rsid w:val="0C752EE2"/>
    <w:rsid w:val="0CA43CE5"/>
    <w:rsid w:val="0EFF6F09"/>
    <w:rsid w:val="10C055FF"/>
    <w:rsid w:val="118107EC"/>
    <w:rsid w:val="11AA48D3"/>
    <w:rsid w:val="11DD6519"/>
    <w:rsid w:val="140C03C2"/>
    <w:rsid w:val="14E8107C"/>
    <w:rsid w:val="151439D2"/>
    <w:rsid w:val="16BB723D"/>
    <w:rsid w:val="18015F3F"/>
    <w:rsid w:val="1816180F"/>
    <w:rsid w:val="18567A81"/>
    <w:rsid w:val="18C07A22"/>
    <w:rsid w:val="19B4772D"/>
    <w:rsid w:val="19B66E06"/>
    <w:rsid w:val="19FA1725"/>
    <w:rsid w:val="1BE8440E"/>
    <w:rsid w:val="1D155CEE"/>
    <w:rsid w:val="1F280C6F"/>
    <w:rsid w:val="202336C4"/>
    <w:rsid w:val="20F57F95"/>
    <w:rsid w:val="240371BF"/>
    <w:rsid w:val="252A68FA"/>
    <w:rsid w:val="25711CC6"/>
    <w:rsid w:val="25C741E6"/>
    <w:rsid w:val="25DE2C53"/>
    <w:rsid w:val="26DC620F"/>
    <w:rsid w:val="27842671"/>
    <w:rsid w:val="29FD04D3"/>
    <w:rsid w:val="2ABE7A3E"/>
    <w:rsid w:val="2AF7621E"/>
    <w:rsid w:val="2BD1549C"/>
    <w:rsid w:val="2CA234A8"/>
    <w:rsid w:val="2D4D79F2"/>
    <w:rsid w:val="2ED554D6"/>
    <w:rsid w:val="2EFA178C"/>
    <w:rsid w:val="30B46D73"/>
    <w:rsid w:val="319F7F4E"/>
    <w:rsid w:val="383D272C"/>
    <w:rsid w:val="3955095D"/>
    <w:rsid w:val="39AE70AB"/>
    <w:rsid w:val="3BC1190E"/>
    <w:rsid w:val="3C0C0783"/>
    <w:rsid w:val="3E126451"/>
    <w:rsid w:val="3E5D070B"/>
    <w:rsid w:val="3F7A200A"/>
    <w:rsid w:val="3F7F5A3D"/>
    <w:rsid w:val="3F9F3A96"/>
    <w:rsid w:val="441B1DD7"/>
    <w:rsid w:val="45972E6D"/>
    <w:rsid w:val="48901000"/>
    <w:rsid w:val="48BF60AB"/>
    <w:rsid w:val="48D71DCF"/>
    <w:rsid w:val="493C27E9"/>
    <w:rsid w:val="496F39ED"/>
    <w:rsid w:val="49FF41D3"/>
    <w:rsid w:val="4A7D6EFF"/>
    <w:rsid w:val="4BE068DB"/>
    <w:rsid w:val="4BF6002B"/>
    <w:rsid w:val="4BF74ED8"/>
    <w:rsid w:val="4C8B180D"/>
    <w:rsid w:val="4CE7252D"/>
    <w:rsid w:val="4D3C0FE2"/>
    <w:rsid w:val="4D546A09"/>
    <w:rsid w:val="4DC4703C"/>
    <w:rsid w:val="4E522680"/>
    <w:rsid w:val="4ECE2238"/>
    <w:rsid w:val="4F4C4D0A"/>
    <w:rsid w:val="4FE237A9"/>
    <w:rsid w:val="50A5574C"/>
    <w:rsid w:val="51DB4B86"/>
    <w:rsid w:val="55333C3E"/>
    <w:rsid w:val="56CB4879"/>
    <w:rsid w:val="58D26BB9"/>
    <w:rsid w:val="595C637A"/>
    <w:rsid w:val="5C7A1278"/>
    <w:rsid w:val="5E850121"/>
    <w:rsid w:val="5E9D2CFD"/>
    <w:rsid w:val="5F4B517B"/>
    <w:rsid w:val="64CA39A1"/>
    <w:rsid w:val="64FB3A69"/>
    <w:rsid w:val="67866403"/>
    <w:rsid w:val="69630ADE"/>
    <w:rsid w:val="6A7E6AA7"/>
    <w:rsid w:val="6C4A05C8"/>
    <w:rsid w:val="6D254FA9"/>
    <w:rsid w:val="6D3B1A89"/>
    <w:rsid w:val="6DFC6CB7"/>
    <w:rsid w:val="71BF4EC2"/>
    <w:rsid w:val="71CB202B"/>
    <w:rsid w:val="72525541"/>
    <w:rsid w:val="72734D90"/>
    <w:rsid w:val="72B0514E"/>
    <w:rsid w:val="7412278C"/>
    <w:rsid w:val="764656F7"/>
    <w:rsid w:val="76783872"/>
    <w:rsid w:val="781B129B"/>
    <w:rsid w:val="795A5FDB"/>
    <w:rsid w:val="79E7B28D"/>
    <w:rsid w:val="7A545D27"/>
    <w:rsid w:val="7A784387"/>
    <w:rsid w:val="7ED35C3F"/>
    <w:rsid w:val="7F9F20EE"/>
    <w:rsid w:val="9E3A10E2"/>
    <w:rsid w:val="F2E1F9D4"/>
    <w:rsid w:val="F78808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6">
    <w:name w:val="heading 3"/>
    <w:basedOn w:val="1"/>
    <w:next w:val="1"/>
    <w:link w:val="3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7">
    <w:name w:val="Body Text"/>
    <w:basedOn w:val="1"/>
    <w:link w:val="26"/>
    <w:qFormat/>
    <w:uiPriority w:val="99"/>
    <w:pPr>
      <w:spacing w:beforeLines="30"/>
    </w:pPr>
    <w:rPr>
      <w:rFonts w:ascii="仿宋_GB2312" w:eastAsia="仿宋_GB2312"/>
      <w:kern w:val="0"/>
      <w:sz w:val="30"/>
    </w:rPr>
  </w:style>
  <w:style w:type="paragraph" w:styleId="8">
    <w:name w:val="toc 3"/>
    <w:basedOn w:val="1"/>
    <w:next w:val="1"/>
    <w:unhideWhenUsed/>
    <w:qFormat/>
    <w:uiPriority w:val="39"/>
    <w:pPr>
      <w:tabs>
        <w:tab w:val="right" w:leader="dot" w:pos="8296"/>
      </w:tabs>
      <w:ind w:left="840" w:leftChars="400"/>
    </w:pPr>
  </w:style>
  <w:style w:type="paragraph" w:styleId="9">
    <w:name w:val="Plain Text"/>
    <w:basedOn w:val="1"/>
    <w:link w:val="35"/>
    <w:qFormat/>
    <w:uiPriority w:val="99"/>
    <w:rPr>
      <w:rFonts w:ascii="宋体" w:hAnsi="Courier New" w:eastAsia="仿宋_GB2312" w:cs="Courier New"/>
      <w:b/>
      <w:sz w:val="32"/>
      <w:szCs w:val="21"/>
    </w:rPr>
  </w:style>
  <w:style w:type="paragraph" w:styleId="10">
    <w:name w:val="Balloon Text"/>
    <w:basedOn w:val="1"/>
    <w:link w:val="32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12">
    <w:name w:val="header"/>
    <w:basedOn w:val="1"/>
    <w:link w:val="2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pPr>
      <w:tabs>
        <w:tab w:val="right" w:leader="dot" w:pos="8296"/>
      </w:tabs>
      <w:spacing w:before="93"/>
      <w:jc w:val="center"/>
    </w:pPr>
    <w:rPr>
      <w:rFonts w:ascii="仿宋" w:hAnsi="仿宋" w:eastAsia="仿宋"/>
      <w:sz w:val="28"/>
      <w:szCs w:val="28"/>
    </w:rPr>
  </w:style>
  <w:style w:type="paragraph" w:styleId="14">
    <w:name w:val="toc 2"/>
    <w:basedOn w:val="1"/>
    <w:next w:val="1"/>
    <w:unhideWhenUsed/>
    <w:qFormat/>
    <w:uiPriority w:val="39"/>
    <w:pPr>
      <w:tabs>
        <w:tab w:val="right" w:leader="dot" w:pos="8296"/>
      </w:tabs>
      <w:ind w:left="420" w:leftChars="200"/>
    </w:pPr>
  </w:style>
  <w:style w:type="paragraph" w:styleId="1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6">
    <w:name w:val="Body Text First Indent"/>
    <w:basedOn w:val="7"/>
    <w:qFormat/>
    <w:uiPriority w:val="0"/>
    <w:pPr>
      <w:ind w:firstLine="420" w:firstLineChars="100"/>
    </w:pPr>
  </w:style>
  <w:style w:type="character" w:styleId="19">
    <w:name w:val="Strong"/>
    <w:basedOn w:val="18"/>
    <w:qFormat/>
    <w:uiPriority w:val="99"/>
    <w:rPr>
      <w:b/>
    </w:rPr>
  </w:style>
  <w:style w:type="character" w:styleId="20">
    <w:name w:val="Hyperlink"/>
    <w:basedOn w:val="18"/>
    <w:unhideWhenUsed/>
    <w:qFormat/>
    <w:uiPriority w:val="99"/>
    <w:rPr>
      <w:color w:val="0000FF" w:themeColor="hyperlink"/>
      <w:u w:val="single"/>
    </w:rPr>
  </w:style>
  <w:style w:type="character" w:customStyle="1" w:styleId="21">
    <w:name w:val="Header Char"/>
    <w:basedOn w:val="18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2">
    <w:name w:val="页眉 Char"/>
    <w:link w:val="12"/>
    <w:semiHidden/>
    <w:qFormat/>
    <w:locked/>
    <w:uiPriority w:val="99"/>
    <w:rPr>
      <w:sz w:val="18"/>
    </w:rPr>
  </w:style>
  <w:style w:type="character" w:customStyle="1" w:styleId="23">
    <w:name w:val="Footer Char"/>
    <w:basedOn w:val="18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4">
    <w:name w:val="页脚 Char"/>
    <w:link w:val="11"/>
    <w:qFormat/>
    <w:locked/>
    <w:uiPriority w:val="99"/>
    <w:rPr>
      <w:sz w:val="18"/>
    </w:rPr>
  </w:style>
  <w:style w:type="character" w:customStyle="1" w:styleId="25">
    <w:name w:val="Body Text Char"/>
    <w:basedOn w:val="18"/>
    <w:semiHidden/>
    <w:qFormat/>
    <w:uiPriority w:val="99"/>
    <w:rPr>
      <w:rFonts w:ascii="Times New Roman" w:hAnsi="Times New Roman"/>
      <w:szCs w:val="24"/>
    </w:rPr>
  </w:style>
  <w:style w:type="character" w:customStyle="1" w:styleId="26">
    <w:name w:val="正文文本 Char"/>
    <w:link w:val="7"/>
    <w:qFormat/>
    <w:locked/>
    <w:uiPriority w:val="99"/>
    <w:rPr>
      <w:rFonts w:ascii="仿宋_GB2312" w:hAnsi="Times New Roman" w:eastAsia="仿宋_GB2312"/>
      <w:sz w:val="24"/>
    </w:rPr>
  </w:style>
  <w:style w:type="paragraph" w:customStyle="1" w:styleId="2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  <w:style w:type="character" w:customStyle="1" w:styleId="29">
    <w:name w:val="标题 1 Char"/>
    <w:basedOn w:val="18"/>
    <w:link w:val="4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30">
    <w:name w:val="标题 2 Char"/>
    <w:basedOn w:val="18"/>
    <w:link w:val="5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31">
    <w:name w:val="TOC 标题1"/>
    <w:basedOn w:val="4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32">
    <w:name w:val="批注框文本 Char"/>
    <w:basedOn w:val="18"/>
    <w:link w:val="10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33">
    <w:name w:val="标题 3 Char"/>
    <w:basedOn w:val="18"/>
    <w:link w:val="6"/>
    <w:qFormat/>
    <w:uiPriority w:val="9"/>
    <w:rPr>
      <w:rFonts w:ascii="Times New Roman" w:hAnsi="Times New Roman"/>
      <w:b/>
      <w:bCs/>
      <w:kern w:val="2"/>
      <w:sz w:val="32"/>
      <w:szCs w:val="32"/>
    </w:rPr>
  </w:style>
  <w:style w:type="paragraph" w:customStyle="1" w:styleId="34">
    <w:name w:val="TOC 标题2"/>
    <w:basedOn w:val="4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35">
    <w:name w:val="纯文本 Char"/>
    <w:basedOn w:val="18"/>
    <w:link w:val="9"/>
    <w:qFormat/>
    <w:uiPriority w:val="99"/>
    <w:rPr>
      <w:rFonts w:ascii="宋体" w:hAnsi="Courier New" w:eastAsia="仿宋_GB2312" w:cs="Courier New"/>
      <w:b/>
      <w:kern w:val="2"/>
      <w:sz w:val="32"/>
      <w:szCs w:val="21"/>
    </w:rPr>
  </w:style>
  <w:style w:type="paragraph" w:customStyle="1" w:styleId="36">
    <w:name w:val="TOC Heading"/>
    <w:basedOn w:val="4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4.xml"/><Relationship Id="rId8" Type="http://schemas.openxmlformats.org/officeDocument/2006/relationships/chart" Target="charts/chart3.xml"/><Relationship Id="rId7" Type="http://schemas.openxmlformats.org/officeDocument/2006/relationships/chart" Target="charts/chart2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&#27189;&#24215;&#21307;&#38498;\Documents\tencent%20files\2060144031\filerecv\&#20915;&#31639;&#20844;&#24320;&#25554;&#22270;&#21046;&#20316;&#31034;&#2036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27189;&#24215;&#21307;&#38498;\Documents\tencent%20files\2060144031\filerecv\&#20915;&#31639;&#20844;&#24320;&#25554;&#22270;&#21046;&#20316;&#31034;&#2036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27189;&#24215;&#21307;&#38498;\Documents\tencent%20files\2060144031\filerecv\&#20915;&#31639;&#20844;&#24320;&#25554;&#22270;&#21046;&#20316;&#31034;&#2036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27189;&#24215;&#21307;&#38498;\Documents\tencent%20files\2060144031\filerecv\&#20915;&#31639;&#20844;&#24320;&#25554;&#22270;&#21046;&#20316;&#31034;&#2036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图2:收入决算结构图</a:t>
            </a:r>
          </a:p>
        </c:rich>
      </c:tx>
      <c:layout>
        <c:manualLayout>
          <c:xMode val="edge"/>
          <c:yMode val="edge"/>
          <c:x val="0.00416666666666667"/>
          <c:y val="0.21875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42013888888889"/>
          <c:y val="0.176388888888889"/>
          <c:w val="0.324305555555556"/>
          <c:h val="0.540509259259259"/>
        </c:manualLayout>
      </c:layout>
      <c:pieChart>
        <c:varyColors val="1"/>
        <c:ser>
          <c:idx val="0"/>
          <c:order val="0"/>
          <c:spPr/>
          <c:explosion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[决算公开插图制作示例.xlsx]图二!$A$1:$A$3</c:f>
              <c:strCache>
                <c:ptCount val="3"/>
                <c:pt idx="0">
                  <c:v>一、一般公共预算财政拨款收入</c:v>
                </c:pt>
                <c:pt idx="1">
                  <c:v>二、事业收入</c:v>
                </c:pt>
                <c:pt idx="2">
                  <c:v>三、其他收入</c:v>
                </c:pt>
              </c:strCache>
            </c:strRef>
          </c:cat>
          <c:val>
            <c:numRef>
              <c:f>[决算公开插图制作示例.xlsx]图二!$B$1:$B$3</c:f>
            </c:numRef>
          </c:val>
        </c:ser>
        <c:ser>
          <c:idx val="1"/>
          <c:order val="1"/>
          <c:spPr/>
          <c:explosion val="0"/>
          <c:dPt>
            <c:idx val="0"/>
            <c:bubble3D val="0"/>
            <c:spPr>
              <a:gradFill>
                <a:gsLst>
                  <a:gs pos="0">
                    <a:schemeClr val="accent1">
                      <a:lumMod val="40000"/>
                      <a:lumOff val="60000"/>
                    </a:schemeClr>
                  </a:gs>
                  <a:gs pos="90000">
                    <a:schemeClr val="accent1"/>
                  </a:gs>
                </a:gsLst>
                <a:lin ang="5400000" scaled="0"/>
              </a:gradFill>
              <a:ln>
                <a:gradFill>
                  <a:gsLst>
                    <a:gs pos="0">
                      <a:schemeClr val="accent1"/>
                    </a:gs>
                    <a:gs pos="100000">
                      <a:schemeClr val="accent1">
                        <a:lumMod val="75000"/>
                      </a:schemeClr>
                    </a:gs>
                  </a:gsLst>
                  <a:lin ang="5400000" scaled="1"/>
                </a:gradFill>
              </a:ln>
              <a:effectLst>
                <a:outerShdw blurRad="76200" dist="25400" dir="2700000" algn="tl" rotWithShape="0">
                  <a:schemeClr val="accent1">
                    <a:lumMod val="50000"/>
                    <a:alpha val="30000"/>
                  </a:schemeClr>
                </a:outerShdw>
              </a:effectLst>
            </c:spPr>
          </c:dPt>
          <c:dPt>
            <c:idx val="1"/>
            <c:bubble3D val="0"/>
            <c:spPr>
              <a:gradFill>
                <a:gsLst>
                  <a:gs pos="0">
                    <a:schemeClr val="accent2">
                      <a:lumMod val="40000"/>
                      <a:lumOff val="60000"/>
                    </a:schemeClr>
                  </a:gs>
                  <a:gs pos="90000">
                    <a:schemeClr val="accent2"/>
                  </a:gs>
                </a:gsLst>
                <a:lin ang="5400000" scaled="0"/>
              </a:gradFill>
              <a:ln>
                <a:gradFill>
                  <a:gsLst>
                    <a:gs pos="0">
                      <a:schemeClr val="accent2"/>
                    </a:gs>
                    <a:gs pos="100000">
                      <a:schemeClr val="accent2">
                        <a:lumMod val="75000"/>
                      </a:schemeClr>
                    </a:gs>
                  </a:gsLst>
                  <a:lin ang="5400000" scaled="1"/>
                </a:gradFill>
              </a:ln>
              <a:effectLst>
                <a:outerShdw blurRad="76200" dist="25400" dir="2700000" algn="tl" rotWithShape="0">
                  <a:schemeClr val="accent2">
                    <a:lumMod val="50000"/>
                    <a:alpha val="30000"/>
                  </a:schemeClr>
                </a:outerShdw>
              </a:effectLst>
            </c:spPr>
          </c:dPt>
          <c:dPt>
            <c:idx val="2"/>
            <c:bubble3D val="0"/>
            <c:spPr>
              <a:gradFill>
                <a:gsLst>
                  <a:gs pos="0">
                    <a:schemeClr val="accent3">
                      <a:lumMod val="40000"/>
                      <a:lumOff val="60000"/>
                    </a:schemeClr>
                  </a:gs>
                  <a:gs pos="90000">
                    <a:schemeClr val="accent3"/>
                  </a:gs>
                </a:gsLst>
                <a:lin ang="5400000" scaled="0"/>
              </a:gradFill>
              <a:ln>
                <a:gradFill>
                  <a:gsLst>
                    <a:gs pos="0">
                      <a:schemeClr val="accent3"/>
                    </a:gs>
                    <a:gs pos="100000">
                      <a:schemeClr val="accent3">
                        <a:lumMod val="75000"/>
                      </a:schemeClr>
                    </a:gs>
                  </a:gsLst>
                  <a:lin ang="5400000" scaled="1"/>
                </a:gradFill>
              </a:ln>
              <a:effectLst>
                <a:outerShdw blurRad="76200" dist="25400" dir="2700000" algn="tl" rotWithShape="0">
                  <a:schemeClr val="accent3">
                    <a:lumMod val="50000"/>
                    <a:alpha val="30000"/>
                  </a:schemeClr>
                </a:outerShdw>
              </a:effectLst>
            </c:spPr>
          </c:dPt>
          <c:dLbls>
            <c:dLbl>
              <c:idx val="0"/>
              <c:layout>
                <c:manualLayout>
                  <c:x val="0.116666666666667"/>
                  <c:y val="0.013888888888888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10416666666667"/>
                  <c:y val="0.034722222222222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[决算公开插图制作示例.xlsx]图二!$A$1:$A$3</c:f>
              <c:strCache>
                <c:ptCount val="3"/>
                <c:pt idx="0">
                  <c:v>一、一般公共预算财政拨款收入</c:v>
                </c:pt>
                <c:pt idx="1">
                  <c:v>二、事业收入</c:v>
                </c:pt>
                <c:pt idx="2">
                  <c:v>三、其他收入</c:v>
                </c:pt>
              </c:strCache>
            </c:strRef>
          </c:cat>
          <c:val>
            <c:numRef>
              <c:f>[决算公开插图制作示例.xlsx]图二!$C$1:$C$3</c:f>
              <c:numCache>
                <c:formatCode>0.00%</c:formatCode>
                <c:ptCount val="3"/>
                <c:pt idx="0">
                  <c:v>0.622</c:v>
                </c:pt>
                <c:pt idx="1" c:formatCode="General">
                  <c:v>35.18</c:v>
                </c:pt>
                <c:pt idx="2">
                  <c:v>0.0262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49027777777778"/>
          <c:y val="0.858796296296296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24846894138"/>
          <c:y val="0.150462962962963"/>
          <c:w val="0.566371172353456"/>
          <c:h val="0.689814814814815"/>
        </c:manualLayout>
      </c:layout>
      <c:pieChart>
        <c:varyColors val="1"/>
        <c:ser>
          <c:idx val="0"/>
          <c:order val="0"/>
          <c:explosion val="0"/>
          <c:dPt>
            <c:idx val="0"/>
            <c:bubble3D val="0"/>
          </c:dPt>
          <c:dLbls>
            <c:dLbl>
              <c:idx val="0"/>
              <c:layout>
                <c:manualLayout>
                  <c:x val="0.0848707349081365"/>
                  <c:y val="-0.17157334499854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[决算公开插图制作示例.xlsx]图三!$A$2</c:f>
              <c:strCache>
                <c:ptCount val="1"/>
                <c:pt idx="0">
                  <c:v>基本支出</c:v>
                </c:pt>
              </c:strCache>
            </c:strRef>
          </c:cat>
          <c:val>
            <c:numRef>
              <c:f>[决算公开插图制作示例.xlsx]图三!$A$3</c:f>
              <c:numCache>
                <c:formatCode>0.00%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15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7043088363955"/>
          <c:y val="0.434801326917469"/>
          <c:w val="0.186845800524934"/>
          <c:h val="0.1674343832021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0"/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0.0483216316710411"/>
                  <c:y val="0.097738043161271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546208442694663"/>
                  <c:y val="-0.035963108778069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100951443569554"/>
                  <c:y val="-0.13227836103820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[决算公开插图制作示例.xlsx]图6!$A$2:$A$4</c:f>
              <c:strCache>
                <c:ptCount val="3"/>
                <c:pt idx="0">
                  <c:v>社会保障和就业（类）支出</c:v>
                </c:pt>
                <c:pt idx="1">
                  <c:v>卫生健康(类)支出</c:v>
                </c:pt>
                <c:pt idx="2">
                  <c:v>住房保障（类）支出</c:v>
                </c:pt>
              </c:strCache>
            </c:strRef>
          </c:cat>
          <c:val>
            <c:numRef>
              <c:f>[决算公开插图制作示例.xlsx]图6!$B$2:$B$4</c:f>
              <c:numCache>
                <c:formatCode>General</c:formatCode>
                <c:ptCount val="3"/>
                <c:pt idx="0">
                  <c:v>8.23</c:v>
                </c:pt>
                <c:pt idx="1">
                  <c:v>107.72</c:v>
                </c:pt>
                <c:pt idx="2">
                  <c:v>6.17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15"/>
      </c:pieChart>
      <c:spPr>
        <a:noFill/>
        <a:ln>
          <a:noFill/>
        </a:ln>
        <a:effectLst/>
      </c:spPr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0"/>
          <c:dPt>
            <c:idx val="0"/>
            <c:bubble3D val="0"/>
          </c:dPt>
          <c:dLbls>
            <c:dLbl>
              <c:idx val="0"/>
              <c:layout>
                <c:manualLayout>
                  <c:x val="-0.0677309711286089"/>
                  <c:y val="-0.062589676290463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[决算公开插图制作示例.xlsx]图7!$A$2</c:f>
              <c:strCache>
                <c:ptCount val="1"/>
                <c:pt idx="0">
                  <c:v>公务接待费支出</c:v>
                </c:pt>
              </c:strCache>
            </c:strRef>
          </c:cat>
          <c:val>
            <c:numRef>
              <c:f>[决算公开插图制作示例.xlsx]图7!$B$2</c:f>
              <c:numCache>
                <c:formatCode>General</c:formatCode>
                <c:ptCount val="1"/>
                <c:pt idx="0">
                  <c:v>0.38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15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4920094314907"/>
          <c:y val="0.341517389739563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08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0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0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gradFill>
        <a:gsLst>
          <a:gs pos="0">
            <a:schemeClr val="phClr">
              <a:lumMod val="40000"/>
              <a:lumOff val="60000"/>
            </a:schemeClr>
          </a:gs>
          <a:gs pos="90000">
            <a:schemeClr val="phClr"/>
          </a:gs>
        </a:gsLst>
        <a:lin ang="5400000" scaled="0"/>
      </a:gradFill>
      <a:ln>
        <a:gradFill>
          <a:gsLst>
            <a:gs pos="0">
              <a:schemeClr val="phClr"/>
            </a:gs>
            <a:gs pos="100000">
              <a:schemeClr val="phClr">
                <a:lumMod val="75000"/>
              </a:schemeClr>
            </a:gs>
          </a:gsLst>
          <a:lin ang="5400000" scaled="1"/>
        </a:gradFill>
      </a:ln>
      <a:effectLst>
        <a:outerShdw blurRad="76200" dist="25400" dir="2700000" algn="tl" rotWithShape="0">
          <a:schemeClr val="phClr">
            <a:lumMod val="50000"/>
            <a:alpha val="30000"/>
          </a:schemeClr>
        </a:outerShdw>
      </a:effectLst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bg1">
            <a:lumMod val="902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400" b="1" kern="120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BDA8A-2BBD-468A-9872-3CAEE5D236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四川省财政厅</Company>
  <Pages>30</Pages>
  <Words>10902</Words>
  <Characters>12466</Characters>
  <Lines>49</Lines>
  <Paragraphs>34</Paragraphs>
  <TotalTime>0</TotalTime>
  <ScaleCrop>false</ScaleCrop>
  <LinksUpToDate>false</LinksUpToDate>
  <CharactersWithSpaces>12634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2020-08-05T01:49:00Z</dcterms:created>
  <dc:creator>曹颖</dc:creator>
  <cp:lastModifiedBy>NO LOVE</cp:lastModifiedBy>
  <cp:lastPrinted>2023-07-31T02:35:00Z</cp:lastPrinted>
  <dcterms:modified xsi:type="dcterms:W3CDTF">2023-10-29T02:01:29Z</dcterms:modified>
  <dc:title>四川省***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871A3EA8ADA64B11BBD4B965CB0D0E1B_13</vt:lpwstr>
  </property>
</Properties>
</file>