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74" w:name="_GoBack"/>
      <w:bookmarkEnd w:id="74"/>
      <w:bookmarkStart w:id="0" w:name="_Toc15377425"/>
      <w:bookmarkStart w:id="1" w:name="_Toc15396475"/>
      <w:bookmarkStart w:id="2" w:name="_Toc15377193"/>
      <w:bookmarkStart w:id="3" w:name="_Toc15378441"/>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7194"/>
      <w:bookmarkStart w:id="7" w:name="_Toc15378442"/>
      <w:bookmarkStart w:id="8" w:name="_Toc15396476"/>
      <w:bookmarkStart w:id="9" w:name="_Toc15396598"/>
      <w:bookmarkStart w:id="10" w:name="_Toc15377426"/>
      <w:r>
        <w:rPr>
          <w:rFonts w:hint="eastAsia" w:ascii="方正小标宋简体" w:hAnsi="方正小标宋简体" w:eastAsia="方正小标宋简体" w:cs="方正小标宋简体"/>
          <w:sz w:val="72"/>
          <w:szCs w:val="72"/>
        </w:rPr>
        <w:t>剑阁</w:t>
      </w:r>
      <w:bookmarkEnd w:id="5"/>
      <w:bookmarkStart w:id="11" w:name="_Toc15306268"/>
      <w:r>
        <w:rPr>
          <w:rFonts w:hint="eastAsia" w:ascii="方正小标宋简体" w:hAnsi="方正小标宋简体" w:eastAsia="方正小标宋简体" w:cs="方正小标宋简体"/>
          <w:sz w:val="72"/>
          <w:szCs w:val="72"/>
          <w:lang w:eastAsia="zh-CN"/>
        </w:rPr>
        <w:t>县涂山镇人民政府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bookmarkStart w:id="12" w:name="_Toc15377196"/>
      <w:bookmarkStart w:id="13" w:name="_Toc15396599"/>
    </w:p>
    <w:p>
      <w:pPr>
        <w:pStyle w:val="41"/>
        <w:tabs>
          <w:tab w:val="right" w:leader="dot" w:pos="8306"/>
        </w:tabs>
        <w:rPr>
          <w:b/>
        </w:rPr>
      </w:pPr>
      <w:r>
        <w:rPr>
          <w:b/>
        </w:rPr>
        <w:fldChar w:fldCharType="begin"/>
      </w:r>
      <w:r>
        <w:rPr>
          <w:b/>
        </w:rPr>
        <w:instrText xml:space="preserve"> HYPERLINK \l _Toc28688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部门单位概况</w:t>
      </w:r>
      <w:r>
        <w:rPr>
          <w:b/>
        </w:rPr>
        <w:tab/>
      </w:r>
      <w:r>
        <w:rPr>
          <w:rFonts w:hint="eastAsia"/>
          <w:b/>
          <w:lang w:val="en-US" w:eastAsia="zh-CN"/>
        </w:rPr>
        <w:t>3</w:t>
      </w:r>
      <w:r>
        <w:rPr>
          <w:b/>
        </w:rPr>
        <w:fldChar w:fldCharType="end"/>
      </w:r>
    </w:p>
    <w:p>
      <w:pPr>
        <w:pStyle w:val="42"/>
        <w:tabs>
          <w:tab w:val="right" w:leader="dot" w:pos="8306"/>
        </w:tabs>
      </w:pPr>
      <w:r>
        <w:fldChar w:fldCharType="begin"/>
      </w:r>
      <w:r>
        <w:instrText xml:space="preserve"> HYPERLINK \l _Toc12885 </w:instrText>
      </w:r>
      <w:r>
        <w:fldChar w:fldCharType="separate"/>
      </w:r>
      <w:r>
        <w:rPr>
          <w:rFonts w:hint="eastAsia" w:ascii="黑体" w:hAnsi="黑体" w:eastAsia="黑体"/>
        </w:rPr>
        <w:t>一、基</w:t>
      </w:r>
      <w:r>
        <w:rPr>
          <w:rFonts w:hint="eastAsia" w:ascii="黑体" w:hAnsi="黑体" w:eastAsia="黑体"/>
          <w:bCs w:val="0"/>
        </w:rPr>
        <w:t>本职能及主要工作</w:t>
      </w:r>
      <w:r>
        <w:tab/>
      </w:r>
      <w:r>
        <w:rPr>
          <w:rFonts w:hint="eastAsia"/>
          <w:lang w:val="en-US" w:eastAsia="zh-CN"/>
        </w:rPr>
        <w:t>3</w:t>
      </w:r>
      <w:r>
        <w:fldChar w:fldCharType="end"/>
      </w:r>
    </w:p>
    <w:p>
      <w:pPr>
        <w:pStyle w:val="42"/>
        <w:tabs>
          <w:tab w:val="right" w:leader="dot" w:pos="8306"/>
        </w:tabs>
      </w:pPr>
      <w:r>
        <w:fldChar w:fldCharType="begin"/>
      </w:r>
      <w:r>
        <w:instrText xml:space="preserve"> HYPERLINK \l _Toc795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rPr>
          <w:rFonts w:hint="eastAsia"/>
          <w:lang w:val="en-US" w:eastAsia="zh-CN"/>
        </w:rPr>
        <w:t>5</w:t>
      </w:r>
      <w:r>
        <w:fldChar w:fldCharType="end"/>
      </w:r>
    </w:p>
    <w:p>
      <w:pPr>
        <w:pStyle w:val="41"/>
        <w:tabs>
          <w:tab w:val="right" w:leader="dot" w:pos="8306"/>
        </w:tabs>
        <w:rPr>
          <w:b/>
        </w:rPr>
      </w:pPr>
      <w:r>
        <w:rPr>
          <w:b/>
        </w:rPr>
        <w:fldChar w:fldCharType="begin"/>
      </w:r>
      <w:r>
        <w:rPr>
          <w:b/>
        </w:rPr>
        <w:instrText xml:space="preserve"> HYPERLINK \l _Toc10684 </w:instrText>
      </w:r>
      <w:r>
        <w:rPr>
          <w:b/>
        </w:rPr>
        <w:fldChar w:fldCharType="separate"/>
      </w:r>
      <w:r>
        <w:rPr>
          <w:rFonts w:hint="eastAsia" w:ascii="黑体" w:hAnsi="黑体" w:eastAsia="黑体"/>
          <w:b/>
        </w:rPr>
        <w:t>第二部分 202</w:t>
      </w:r>
      <w:r>
        <w:rPr>
          <w:rFonts w:hint="eastAsia" w:ascii="黑体" w:hAnsi="黑体" w:eastAsia="黑体"/>
          <w:b/>
          <w:lang w:val="en-US" w:eastAsia="zh-CN"/>
        </w:rPr>
        <w:t>2</w:t>
      </w:r>
      <w:r>
        <w:rPr>
          <w:rFonts w:hint="eastAsia" w:ascii="黑体" w:hAnsi="黑体" w:eastAsia="黑体"/>
          <w:b/>
        </w:rPr>
        <w:t>年度</w:t>
      </w:r>
      <w:r>
        <w:rPr>
          <w:rFonts w:hint="eastAsia" w:ascii="黑体" w:hAnsi="黑体" w:eastAsia="黑体"/>
          <w:b/>
          <w:bCs/>
        </w:rPr>
        <w:t>部门决算情况说明</w:t>
      </w:r>
      <w:r>
        <w:rPr>
          <w:b/>
        </w:rPr>
        <w:tab/>
      </w:r>
      <w:r>
        <w:rPr>
          <w:rFonts w:hint="eastAsia"/>
          <w:b/>
          <w:lang w:val="en-US" w:eastAsia="zh-CN"/>
        </w:rPr>
        <w:t>6</w:t>
      </w:r>
      <w:r>
        <w:rPr>
          <w:b/>
        </w:rPr>
        <w:fldChar w:fldCharType="end"/>
      </w:r>
    </w:p>
    <w:p>
      <w:pPr>
        <w:pStyle w:val="42"/>
        <w:tabs>
          <w:tab w:val="right" w:leader="dot" w:pos="8306"/>
        </w:tabs>
      </w:pPr>
      <w:r>
        <w:fldChar w:fldCharType="begin"/>
      </w:r>
      <w:r>
        <w:instrText xml:space="preserve"> HYPERLINK \l _Toc3055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rPr>
          <w:rFonts w:hint="eastAsia"/>
          <w:lang w:val="en-US" w:eastAsia="zh-CN"/>
        </w:rPr>
        <w:t>6</w:t>
      </w:r>
      <w:r>
        <w:fldChar w:fldCharType="end"/>
      </w:r>
    </w:p>
    <w:p>
      <w:pPr>
        <w:pStyle w:val="42"/>
        <w:tabs>
          <w:tab w:val="right" w:leader="dot" w:pos="8306"/>
        </w:tabs>
      </w:pPr>
      <w:r>
        <w:fldChar w:fldCharType="begin"/>
      </w:r>
      <w:r>
        <w:instrText xml:space="preserve"> HYPERLINK \l _Toc16451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_Toc19136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_Toc1825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rPr>
          <w:rFonts w:hint="eastAsia"/>
          <w:lang w:val="en-US" w:eastAsia="zh-CN"/>
        </w:rPr>
        <w:t>8</w:t>
      </w:r>
      <w:r>
        <w:fldChar w:fldCharType="end"/>
      </w:r>
    </w:p>
    <w:p>
      <w:pPr>
        <w:pStyle w:val="42"/>
        <w:tabs>
          <w:tab w:val="right" w:leader="dot" w:pos="8306"/>
        </w:tabs>
      </w:pPr>
      <w:r>
        <w:fldChar w:fldCharType="begin"/>
      </w:r>
      <w:r>
        <w:instrText xml:space="preserve"> HYPERLINK \l _Toc12581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rPr>
          <w:rFonts w:hint="eastAsia"/>
          <w:lang w:val="en-US" w:eastAsia="zh-CN"/>
        </w:rPr>
        <w:t>9</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_Toc22395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rPr>
          <w:rFonts w:hint="eastAsia"/>
          <w:lang w:val="en-US" w:eastAsia="zh-CN"/>
        </w:rPr>
        <w:t>1</w:t>
      </w:r>
      <w:r>
        <w:fldChar w:fldCharType="end"/>
      </w:r>
      <w:r>
        <w:rPr>
          <w:rFonts w:hint="eastAsia"/>
          <w:lang w:val="en-US" w:eastAsia="zh-CN"/>
        </w:rPr>
        <w:t>3</w:t>
      </w:r>
    </w:p>
    <w:p>
      <w:pPr>
        <w:pStyle w:val="42"/>
        <w:tabs>
          <w:tab w:val="right" w:leader="dot" w:pos="8306"/>
        </w:tabs>
        <w:rPr>
          <w:rFonts w:hint="eastAsia" w:eastAsiaTheme="minorEastAsia"/>
          <w:lang w:val="en-US" w:eastAsia="zh-CN"/>
        </w:rPr>
      </w:pPr>
      <w:r>
        <w:fldChar w:fldCharType="begin"/>
      </w:r>
      <w:r>
        <w:instrText xml:space="preserve"> HYPERLINK \l _Toc1423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rPr>
          <w:rFonts w:hint="eastAsia"/>
          <w:lang w:val="en-US" w:eastAsia="zh-CN"/>
        </w:rPr>
        <w:t>1</w:t>
      </w:r>
      <w:r>
        <w:fldChar w:fldCharType="end"/>
      </w:r>
      <w:r>
        <w:rPr>
          <w:rFonts w:hint="eastAsia"/>
          <w:lang w:val="en-US" w:eastAsia="zh-CN"/>
        </w:rPr>
        <w:t>4</w:t>
      </w:r>
    </w:p>
    <w:p>
      <w:pPr>
        <w:pStyle w:val="42"/>
        <w:tabs>
          <w:tab w:val="right" w:leader="dot" w:pos="8306"/>
        </w:tabs>
        <w:rPr>
          <w:rFonts w:hint="eastAsia" w:eastAsiaTheme="minorEastAsia"/>
          <w:lang w:val="en-US" w:eastAsia="zh-CN"/>
        </w:rPr>
      </w:pPr>
      <w:r>
        <w:fldChar w:fldCharType="begin"/>
      </w:r>
      <w:r>
        <w:instrText xml:space="preserve"> HYPERLINK \l _Toc7093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_Toc7376 </w:instrText>
      </w:r>
      <w:r>
        <w:fldChar w:fldCharType="separate"/>
      </w:r>
      <w:r>
        <w:rPr>
          <w:rFonts w:hint="eastAsia" w:ascii="黑体" w:hAnsi="黑体" w:eastAsia="黑体"/>
        </w:rPr>
        <w:t>九、 国有资本经营预算支出决算情况说明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_Toc8396 </w:instrText>
      </w:r>
      <w:r>
        <w:fldChar w:fldCharType="separate"/>
      </w:r>
      <w:r>
        <w:rPr>
          <w:rFonts w:hint="eastAsia" w:ascii="黑体" w:hAnsi="黑体" w:eastAsia="黑体"/>
        </w:rPr>
        <w:t>十、 其他重要事项的情况说明</w:t>
      </w:r>
      <w:r>
        <w:tab/>
      </w:r>
      <w:r>
        <w:rPr>
          <w:rFonts w:hint="eastAsia"/>
          <w:lang w:val="en-US" w:eastAsia="zh-CN"/>
        </w:rPr>
        <w:t>1</w:t>
      </w:r>
      <w:r>
        <w:fldChar w:fldCharType="end"/>
      </w:r>
      <w:r>
        <w:rPr>
          <w:rFonts w:hint="eastAsia"/>
          <w:lang w:val="en-US" w:eastAsia="zh-CN"/>
        </w:rPr>
        <w:t>6</w:t>
      </w:r>
    </w:p>
    <w:p>
      <w:pPr>
        <w:pStyle w:val="41"/>
        <w:tabs>
          <w:tab w:val="right" w:leader="dot" w:pos="8306"/>
        </w:tabs>
        <w:rPr>
          <w:rFonts w:hint="eastAsia" w:eastAsiaTheme="minorEastAsia"/>
          <w:b/>
          <w:lang w:val="en-US" w:eastAsia="zh-CN"/>
        </w:rPr>
      </w:pPr>
      <w:r>
        <w:rPr>
          <w:b/>
        </w:rPr>
        <w:fldChar w:fldCharType="begin"/>
      </w:r>
      <w:r>
        <w:rPr>
          <w:b/>
        </w:rPr>
        <w:instrText xml:space="preserve"> HYPERLINK \l _Toc18722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rFonts w:hint="eastAsia"/>
          <w:b/>
          <w:lang w:val="en-US" w:eastAsia="zh-CN"/>
        </w:rPr>
        <w:t>1</w:t>
      </w:r>
      <w:r>
        <w:rPr>
          <w:b/>
        </w:rPr>
        <w:fldChar w:fldCharType="end"/>
      </w:r>
      <w:r>
        <w:rPr>
          <w:rFonts w:hint="eastAsia"/>
          <w:b/>
          <w:lang w:val="en-US" w:eastAsia="zh-CN"/>
        </w:rPr>
        <w:t>9</w:t>
      </w:r>
    </w:p>
    <w:p>
      <w:pPr>
        <w:pStyle w:val="41"/>
        <w:tabs>
          <w:tab w:val="right" w:leader="dot" w:pos="8306"/>
        </w:tabs>
        <w:rPr>
          <w:rFonts w:hint="eastAsia" w:eastAsiaTheme="minorEastAsia"/>
          <w:lang w:val="en-US" w:eastAsia="zh-CN"/>
        </w:rPr>
      </w:pPr>
      <w:r>
        <w:rPr>
          <w:b/>
        </w:rPr>
        <w:fldChar w:fldCharType="begin"/>
      </w:r>
      <w:r>
        <w:rPr>
          <w:b/>
        </w:rPr>
        <w:instrText xml:space="preserve"> HYPERLINK \l _Toc32757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rFonts w:hint="eastAsia"/>
          <w:b/>
          <w:lang w:val="en-US" w:eastAsia="zh-CN"/>
        </w:rPr>
        <w:t>2</w:t>
      </w:r>
      <w:r>
        <w:rPr>
          <w:b/>
        </w:rPr>
        <w:fldChar w:fldCharType="end"/>
      </w:r>
      <w:r>
        <w:rPr>
          <w:rFonts w:hint="eastAsia"/>
          <w:b/>
          <w:lang w:val="en-US" w:eastAsia="zh-CN"/>
        </w:rPr>
        <w:t>5</w:t>
      </w:r>
    </w:p>
    <w:p>
      <w:pPr>
        <w:pStyle w:val="41"/>
        <w:tabs>
          <w:tab w:val="right" w:leader="dot" w:pos="8306"/>
        </w:tabs>
        <w:rPr>
          <w:rFonts w:hint="default" w:eastAsiaTheme="minorEastAsia"/>
          <w:b/>
          <w:lang w:val="en-US" w:eastAsia="zh-CN"/>
        </w:rPr>
      </w:pPr>
      <w:r>
        <w:rPr>
          <w:b/>
        </w:rPr>
        <w:fldChar w:fldCharType="begin"/>
      </w:r>
      <w:r>
        <w:rPr>
          <w:b/>
        </w:rPr>
        <w:instrText xml:space="preserve"> HYPERLINK \l _Toc18591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end"/>
      </w:r>
      <w:r>
        <w:rPr>
          <w:rFonts w:hint="eastAsia"/>
          <w:b/>
          <w:lang w:val="en-US" w:eastAsia="zh-CN"/>
        </w:rPr>
        <w:t>34</w:t>
      </w:r>
    </w:p>
    <w:p>
      <w:pPr>
        <w:pStyle w:val="42"/>
        <w:tabs>
          <w:tab w:val="right" w:leader="dot" w:pos="8306"/>
        </w:tabs>
        <w:rPr>
          <w:rFonts w:hint="eastAsia" w:eastAsiaTheme="minorEastAsia"/>
          <w:lang w:val="en-US" w:eastAsia="zh-CN"/>
        </w:rPr>
      </w:pPr>
      <w:r>
        <w:fldChar w:fldCharType="begin"/>
      </w:r>
      <w:r>
        <w:instrText xml:space="preserve"> HYPERLINK \l _Toc16505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_Toc29501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_Toc25515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_Toc12578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_Toc26081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_Toc30360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_Toc4114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w:t>
      </w:r>
      <w:r>
        <w:rPr>
          <w:rFonts w:hint="eastAsia" w:ascii="仿宋" w:hAnsi="仿宋" w:eastAsia="仿宋"/>
          <w:bCs w:val="0"/>
          <w:lang w:eastAsia="zh-CN"/>
        </w:rPr>
        <w:t>明细</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_Toc5365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_Toc13767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_Toc6802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_Toc21848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_Toc27842 </w:instrText>
      </w:r>
      <w:r>
        <w:fldChar w:fldCharType="separate"/>
      </w:r>
      <w:r>
        <w:rPr>
          <w:rFonts w:hint="eastAsia" w:ascii="仿宋" w:hAnsi="仿宋" w:eastAsia="仿宋"/>
          <w:bCs w:val="0"/>
        </w:rPr>
        <w:t>十三、</w:t>
      </w:r>
      <w:r>
        <w:rPr>
          <w:rFonts w:hint="eastAsia" w:ascii="仿宋" w:hAnsi="仿宋" w:eastAsia="仿宋"/>
          <w:lang w:eastAsia="zh-CN"/>
        </w:rPr>
        <w:t>财政拨款“三公”经费支出决算</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_Toc1475 </w:instrText>
      </w:r>
      <w:r>
        <w:fldChar w:fldCharType="separate"/>
      </w:r>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31"/>
          <w:rFonts w:hint="eastAsia" w:ascii="黑体" w:hAnsi="黑体" w:eastAsia="黑体"/>
          <w:b w:val="0"/>
          <w:bCs w:val="0"/>
        </w:rPr>
        <w:t>部门概况</w:t>
      </w:r>
      <w:bookmarkEnd w:id="12"/>
      <w:bookmarkEnd w:id="13"/>
    </w:p>
    <w:p>
      <w:pPr>
        <w:pStyle w:val="4"/>
        <w:rPr>
          <w:rStyle w:val="32"/>
          <w:rFonts w:ascii="仿宋" w:hAnsi="仿宋" w:eastAsia="黑体"/>
          <w:b w:val="0"/>
          <w:bCs w:val="0"/>
        </w:rPr>
      </w:pPr>
      <w:bookmarkStart w:id="14" w:name="_Toc15377197"/>
      <w:bookmarkStart w:id="15" w:name="_Toc15396600"/>
      <w:r>
        <w:rPr>
          <w:rFonts w:hint="eastAsia" w:ascii="黑体" w:hAnsi="黑体" w:eastAsia="黑体"/>
          <w:b w:val="0"/>
        </w:rPr>
        <w:t>一、</w:t>
      </w:r>
      <w:bookmarkEnd w:id="14"/>
      <w:bookmarkEnd w:id="15"/>
      <w:r>
        <w:rPr>
          <w:rFonts w:hint="eastAsia" w:ascii="黑体" w:hAnsi="黑体" w:eastAsia="黑体"/>
          <w:b w:val="0"/>
        </w:rPr>
        <w:t>部门职责</w:t>
      </w:r>
    </w:p>
    <w:p>
      <w:pPr>
        <w:pStyle w:val="2"/>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7198"/>
      <w:bookmarkStart w:id="17" w:name="_Toc15378445"/>
      <w:bookmarkStart w:id="18" w:name="_Toc15377200"/>
      <w:bookmarkStart w:id="19" w:name="_Toc15396601"/>
      <w:r>
        <w:rPr>
          <w:rFonts w:hint="eastAsia" w:ascii="仿宋" w:hAnsi="仿宋" w:eastAsia="仿宋"/>
          <w:bCs/>
          <w:sz w:val="32"/>
          <w:szCs w:val="32"/>
        </w:rPr>
        <w:t>（一）主要职能。</w:t>
      </w:r>
      <w:bookmarkEnd w:id="16"/>
      <w:bookmarkEnd w:id="17"/>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剑阁县涂山镇人民政府属财政预算一级行政事业单位，执行行政事业单位会计制度、宗旨和业务范围；按照国家有关劳动就业和社会保障的政策、法规，对乡镇在职人员实行管理和服务。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6"/>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2、制定并组织实施村镇建设规划，部署重点工程建设，地方道路建设及公共设施，水利设施的管理，负责土地、林木、水等自然资源和生态环境的保护，做好护林防火工作。</w:t>
      </w:r>
    </w:p>
    <w:p>
      <w:pPr>
        <w:pStyle w:val="16"/>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6"/>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bookmarkStart w:id="20" w:name="_Toc15377199"/>
      <w:bookmarkStart w:id="21" w:name="_Toc15378446"/>
      <w:r>
        <w:rPr>
          <w:rFonts w:hint="eastAsia" w:ascii="仿宋" w:hAnsi="仿宋" w:eastAsia="仿宋"/>
          <w:bCs/>
          <w:sz w:val="32"/>
          <w:szCs w:val="32"/>
        </w:rPr>
        <w:t>（二）</w:t>
      </w:r>
      <w:r>
        <w:rPr>
          <w:rFonts w:hint="eastAsia" w:ascii="仿宋_GB2312" w:hAnsi="仿宋_GB2312" w:eastAsia="仿宋_GB2312" w:cs="仿宋_GB2312"/>
          <w:b w:val="0"/>
          <w:bCs/>
          <w:kern w:val="2"/>
          <w:sz w:val="32"/>
          <w:szCs w:val="32"/>
          <w:highlight w:val="none"/>
          <w:lang w:val="en-US" w:eastAsia="zh-CN" w:bidi="ar-SA"/>
        </w:rPr>
        <w:t>2022年重点工作完成情况</w:t>
      </w:r>
      <w:r>
        <w:rPr>
          <w:rFonts w:hint="eastAsia" w:ascii="仿宋" w:hAnsi="仿宋" w:eastAsia="仿宋"/>
          <w:bCs/>
          <w:sz w:val="32"/>
          <w:szCs w:val="32"/>
        </w:rPr>
        <w:t>。</w:t>
      </w:r>
      <w:bookmarkEnd w:id="20"/>
      <w:bookmarkEnd w:id="21"/>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（一）党的建设全面加强。</w:t>
      </w:r>
      <w:r>
        <w:rPr>
          <w:rFonts w:hint="eastAsia" w:ascii="仿宋_GB2312" w:hAnsi="仿宋_GB2312" w:eastAsia="仿宋_GB2312" w:cs="仿宋_GB2312"/>
          <w:color w:val="auto"/>
          <w:sz w:val="32"/>
          <w:szCs w:val="32"/>
          <w:lang w:val="en-US" w:eastAsia="zh-CN"/>
        </w:rPr>
        <w:t>全镇深入学习领会党的二十大精神和省委十二次党代会精神，贯彻落实习近平总书记来川视察重要讲话，坚持集中学习和个人自学相结合方式，扎实开展理论中心组学习10次，专题讨论3次，努力提升党员干部政治判断力、政治领悟力、政治执行力。镇党委、镇政府班子成员齐心协力，学习与工作齐头并进，知行合一，扎实为民办实事。</w:t>
      </w:r>
    </w:p>
    <w:p>
      <w:pPr>
        <w:spacing w:line="576" w:lineRule="exact"/>
        <w:ind w:firstLine="642" w:firstLineChars="200"/>
        <w:jc w:val="both"/>
        <w:rPr>
          <w:rFonts w:ascii="仿宋_GB2312" w:hAnsi="仿宋_GB2312" w:eastAsia="仿宋_GB2312" w:cs="仿宋_GB2312"/>
          <w:b/>
          <w:bCs/>
          <w:color w:val="auto"/>
          <w:sz w:val="32"/>
          <w:szCs w:val="32"/>
        </w:rPr>
      </w:pPr>
      <w:r>
        <w:rPr>
          <w:rFonts w:hint="eastAsia" w:ascii="楷体_GB2312" w:hAnsi="楷体_GB2312" w:eastAsia="楷体_GB2312" w:cs="楷体_GB2312"/>
          <w:b/>
          <w:bCs/>
          <w:color w:val="auto"/>
          <w:sz w:val="32"/>
          <w:szCs w:val="32"/>
          <w:lang w:val="en-US" w:eastAsia="zh-CN"/>
        </w:rPr>
        <w:t>（二）乡村振兴有序推进</w:t>
      </w:r>
      <w:r>
        <w:rPr>
          <w:rFonts w:hint="eastAsia" w:ascii="仿宋" w:hAnsi="仿宋" w:eastAsia="仿宋" w:cs="仿宋"/>
          <w:b/>
          <w:bCs/>
          <w:color w:val="auto"/>
          <w:sz w:val="32"/>
          <w:szCs w:val="32"/>
          <w:lang w:val="en-US" w:eastAsia="zh-CN"/>
        </w:rPr>
        <w:t>。</w:t>
      </w:r>
      <w:r>
        <w:rPr>
          <w:rFonts w:hint="eastAsia" w:ascii="仿宋_GB2312" w:hAnsi="仿宋_GB2312" w:eastAsia="仿宋_GB2312" w:cs="仿宋_GB2312"/>
          <w:color w:val="auto"/>
          <w:sz w:val="32"/>
          <w:szCs w:val="32"/>
          <w:lang w:val="en-US" w:eastAsia="zh-CN"/>
        </w:rPr>
        <w:t>坚持严格落实防返贫动态监测，聚焦风险人员，全覆盖开展防返贫集中排查，建立问题清单、责任清单、帮扶清单“3张”清单，科学精准落实扶持措施，坚决守住不发生规模性返贫的底线。</w:t>
      </w:r>
    </w:p>
    <w:p>
      <w:pPr>
        <w:pStyle w:val="14"/>
        <w:keepNext w:val="0"/>
        <w:keepLines w:val="0"/>
        <w:pageBreakBefore w:val="0"/>
        <w:kinsoku/>
        <w:wordWrap/>
        <w:overflowPunct/>
        <w:topLinePunct w:val="0"/>
        <w:autoSpaceDE/>
        <w:autoSpaceDN/>
        <w:bidi w:val="0"/>
        <w:adjustRightInd/>
        <w:snapToGrid/>
        <w:spacing w:line="576" w:lineRule="exact"/>
        <w:ind w:left="0" w:leftChars="0" w:firstLine="642" w:firstLineChars="200"/>
        <w:jc w:val="both"/>
        <w:textAlignment w:val="auto"/>
        <w:rPr>
          <w:rFonts w:hint="default" w:ascii="楷体_GB2312" w:hAnsi="楷体_GB2312" w:eastAsia="仿宋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（三）人居环境不断改善。</w:t>
      </w:r>
      <w:r>
        <w:rPr>
          <w:rFonts w:hint="eastAsia" w:ascii="仿宋_GB2312" w:hAnsi="仿宋_GB2312" w:eastAsia="仿宋_GB2312" w:cs="仿宋_GB2312"/>
          <w:color w:val="auto"/>
          <w:sz w:val="32"/>
          <w:szCs w:val="32"/>
          <w:lang w:val="en-US" w:eastAsia="zh-CN"/>
        </w:rPr>
        <w:t>镇村面貌显著改观。秉承“绿水青山就是金山银山”的绿色发展理念，继续实施农村垃圾污水厕所“三大革命”专项整治，严格落实河长制、林长制、路长制各项工作要求。稳步实施林业增绿，严格落实环保工作责任制，认真开展农村人居环境整治专项行动，村庄环境得到有效治理，农村面源污染持续减少，人居环境大为改善。</w:t>
      </w:r>
    </w:p>
    <w:p>
      <w:pPr>
        <w:pStyle w:val="6"/>
        <w:keepNext w:val="0"/>
        <w:keepLines w:val="0"/>
        <w:pageBreakBefore w:val="0"/>
        <w:kinsoku/>
        <w:wordWrap/>
        <w:overflowPunct/>
        <w:topLinePunct w:val="0"/>
        <w:autoSpaceDE/>
        <w:autoSpaceDN/>
        <w:bidi w:val="0"/>
        <w:adjustRightInd/>
        <w:snapToGrid/>
        <w:spacing w:line="576" w:lineRule="exact"/>
        <w:ind w:left="0" w:leftChars="0" w:firstLine="642"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（四）社会事业蓬勃发展。</w:t>
      </w:r>
      <w:r>
        <w:rPr>
          <w:rFonts w:hint="eastAsia" w:ascii="仿宋_GB2312" w:hAnsi="仿宋_GB2312" w:eastAsia="仿宋_GB2312" w:cs="仿宋_GB2312"/>
          <w:color w:val="auto"/>
          <w:sz w:val="32"/>
          <w:szCs w:val="32"/>
          <w:lang w:val="en-US" w:eastAsia="zh-CN"/>
        </w:rPr>
        <w:t>文化教育事业发展良好。充分整合现有资源，不断加强公民道德建设和乡风文明建设，积极组织文化站举办丰富多样的群众文化娱乐活动，得到群众一致好评，教育事业发展显著提升。认真开展民兵整组等工作，卫计、妇女儿童、工会、共青团、残疾人、通信等各项社会事业持续增强。</w:t>
      </w:r>
    </w:p>
    <w:p>
      <w:pPr>
        <w:pStyle w:val="4"/>
        <w:rPr>
          <w:rStyle w:val="32"/>
          <w:b w:val="0"/>
          <w:bCs w:val="0"/>
        </w:rPr>
      </w:pPr>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18"/>
      <w:bookmarkEnd w:id="19"/>
    </w:p>
    <w:p>
      <w:pPr>
        <w:ind w:firstLine="800" w:firstLineChars="250"/>
        <w:rPr>
          <w:rFonts w:ascii="仿宋" w:hAnsi="仿宋" w:eastAsia="仿宋"/>
          <w:sz w:val="32"/>
          <w:szCs w:val="32"/>
        </w:rPr>
      </w:pPr>
      <w:r>
        <w:rPr>
          <w:rFonts w:hint="eastAsia" w:ascii="仿宋" w:hAnsi="仿宋" w:eastAsia="仿宋"/>
          <w:sz w:val="32"/>
          <w:szCs w:val="32"/>
          <w:lang w:eastAsia="zh-CN"/>
        </w:rPr>
        <w:t>剑阁县涂山镇人民政府</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adjustRightInd w:val="0"/>
        <w:snapToGrid w:val="0"/>
        <w:spacing w:before="93" w:line="600" w:lineRule="exact"/>
        <w:ind w:firstLine="672" w:firstLineChars="210"/>
        <w:rPr>
          <w:rFonts w:hint="eastAsia" w:ascii="仿宋" w:hAnsi="仿宋" w:eastAsia="仿宋"/>
          <w:sz w:val="32"/>
          <w:szCs w:val="32"/>
          <w:lang w:eastAsia="zh-CN"/>
        </w:rPr>
      </w:pPr>
      <w:r>
        <w:rPr>
          <w:rFonts w:hint="eastAsia" w:ascii="仿宋" w:hAnsi="仿宋" w:eastAsia="仿宋"/>
          <w:sz w:val="32"/>
          <w:szCs w:val="32"/>
          <w:lang w:eastAsia="zh-CN"/>
        </w:rPr>
        <w:t>无</w:t>
      </w:r>
      <w:r>
        <w:rPr>
          <w:rFonts w:hint="eastAsia" w:ascii="仿宋" w:hAnsi="仿宋" w:eastAsia="仿宋"/>
          <w:sz w:val="32"/>
          <w:szCs w:val="32"/>
        </w:rPr>
        <w:t>纳入</w:t>
      </w:r>
      <w:r>
        <w:rPr>
          <w:rFonts w:hint="eastAsia" w:ascii="仿宋" w:hAnsi="仿宋" w:eastAsia="仿宋"/>
          <w:sz w:val="32"/>
          <w:szCs w:val="32"/>
          <w:lang w:eastAsia="zh-CN"/>
        </w:rPr>
        <w:t>剑阁县涂山镇人民政府</w:t>
      </w:r>
      <w:r>
        <w:rPr>
          <w:rFonts w:hint="eastAsia" w:ascii="仿宋" w:hAnsi="仿宋" w:eastAsia="仿宋"/>
          <w:sz w:val="32"/>
          <w:szCs w:val="32"/>
        </w:rPr>
        <w:t>2022年度部门决算编制范围的二级预算单位</w:t>
      </w:r>
      <w:r>
        <w:rPr>
          <w:rFonts w:hint="eastAsia" w:ascii="仿宋" w:hAnsi="仿宋" w:eastAsia="仿宋"/>
          <w:sz w:val="32"/>
          <w:szCs w:val="32"/>
          <w:lang w:eastAsia="zh-CN"/>
        </w:rPr>
        <w:t>。</w:t>
      </w:r>
    </w:p>
    <w:p>
      <w:pPr>
        <w:pStyle w:val="2"/>
        <w:adjustRightInd w:val="0"/>
        <w:snapToGrid w:val="0"/>
        <w:spacing w:before="93" w:line="600" w:lineRule="exact"/>
        <w:rPr>
          <w:rFonts w:hint="eastAsia" w:ascii="仿宋" w:hAnsi="仿宋" w:eastAsia="仿宋"/>
          <w:sz w:val="32"/>
          <w:szCs w:val="32"/>
          <w:lang w:eastAsia="zh-CN"/>
        </w:rPr>
      </w:pPr>
    </w:p>
    <w:p>
      <w:pPr>
        <w:pStyle w:val="3"/>
        <w:ind w:right="440"/>
        <w:jc w:val="center"/>
      </w:pPr>
      <w:bookmarkStart w:id="22" w:name="_Toc15377204"/>
      <w:bookmarkStart w:id="23" w:name="_Toc15396602"/>
      <w:r>
        <w:rPr>
          <w:rFonts w:hint="eastAsia" w:ascii="黑体" w:hAnsi="黑体" w:eastAsia="黑体"/>
          <w:b w:val="0"/>
        </w:rPr>
        <w:t>第二部分 2022年度</w:t>
      </w:r>
      <w:r>
        <w:rPr>
          <w:rStyle w:val="31"/>
          <w:rFonts w:hint="eastAsia" w:ascii="黑体" w:hAnsi="黑体" w:eastAsia="黑体"/>
          <w:b w:val="0"/>
          <w:bCs/>
        </w:rPr>
        <w:t>部门决算情况说明</w:t>
      </w:r>
      <w:bookmarkEnd w:id="22"/>
      <w:bookmarkEnd w:id="23"/>
    </w:p>
    <w:p>
      <w:pPr>
        <w:pStyle w:val="30"/>
        <w:numPr>
          <w:ilvl w:val="0"/>
          <w:numId w:val="1"/>
        </w:numPr>
        <w:spacing w:line="600" w:lineRule="exact"/>
        <w:ind w:firstLineChars="0"/>
        <w:outlineLvl w:val="1"/>
        <w:rPr>
          <w:rStyle w:val="32"/>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32"/>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646.47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646.47</w:t>
      </w:r>
      <w:r>
        <w:rPr>
          <w:rFonts w:hint="eastAsia" w:ascii="仿宋" w:hAnsi="仿宋" w:eastAsia="仿宋"/>
          <w:sz w:val="32"/>
          <w:szCs w:val="32"/>
        </w:rPr>
        <w:t>万元。与2021年</w:t>
      </w:r>
      <w:r>
        <w:rPr>
          <w:rFonts w:hint="eastAsia" w:ascii="仿宋" w:hAnsi="仿宋" w:eastAsia="仿宋"/>
          <w:sz w:val="32"/>
          <w:szCs w:val="32"/>
          <w:lang w:eastAsia="zh-CN"/>
        </w:rPr>
        <w:t>度收入</w:t>
      </w:r>
      <w:r>
        <w:rPr>
          <w:rFonts w:hint="eastAsia" w:ascii="仿宋" w:hAnsi="仿宋" w:eastAsia="仿宋"/>
          <w:sz w:val="32"/>
          <w:szCs w:val="32"/>
        </w:rPr>
        <w:t>总计1008.11万元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w:t>
      </w:r>
      <w:r>
        <w:rPr>
          <w:rFonts w:hint="eastAsia" w:ascii="仿宋" w:hAnsi="仿宋" w:eastAsia="仿宋"/>
          <w:sz w:val="32"/>
          <w:szCs w:val="32"/>
          <w:lang w:eastAsia="zh-CN"/>
        </w:rPr>
        <w:t>减少</w:t>
      </w:r>
      <w:r>
        <w:rPr>
          <w:rFonts w:hint="eastAsia" w:ascii="仿宋" w:hAnsi="仿宋" w:eastAsia="仿宋"/>
          <w:sz w:val="32"/>
          <w:szCs w:val="32"/>
          <w:lang w:val="en-US" w:eastAsia="zh-CN"/>
        </w:rPr>
        <w:t>361.64</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35.87</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度支出</w:t>
      </w:r>
      <w:r>
        <w:rPr>
          <w:rFonts w:hint="eastAsia" w:ascii="仿宋" w:hAnsi="仿宋" w:eastAsia="仿宋"/>
          <w:sz w:val="32"/>
          <w:szCs w:val="32"/>
        </w:rPr>
        <w:t>总计</w:t>
      </w:r>
      <w:r>
        <w:rPr>
          <w:rFonts w:hint="eastAsia" w:ascii="仿宋" w:hAnsi="仿宋" w:eastAsia="仿宋"/>
          <w:sz w:val="32"/>
          <w:szCs w:val="32"/>
          <w:lang w:val="en-US" w:eastAsia="zh-CN"/>
        </w:rPr>
        <w:t>1008.11</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总计增加</w:t>
      </w:r>
      <w:r>
        <w:rPr>
          <w:rFonts w:hint="eastAsia" w:ascii="仿宋" w:hAnsi="仿宋" w:eastAsia="仿宋"/>
          <w:sz w:val="32"/>
          <w:szCs w:val="32"/>
          <w:lang w:val="en-US" w:eastAsia="zh-CN"/>
        </w:rPr>
        <w:t>减少361.64</w:t>
      </w:r>
      <w:r>
        <w:rPr>
          <w:rFonts w:hint="eastAsia" w:ascii="仿宋" w:hAnsi="仿宋" w:eastAsia="仿宋"/>
          <w:sz w:val="32"/>
          <w:szCs w:val="32"/>
        </w:rPr>
        <w:t>万元，减少35.87%</w:t>
      </w:r>
      <w:r>
        <w:rPr>
          <w:rFonts w:hint="eastAsia" w:ascii="仿宋" w:hAnsi="仿宋" w:eastAsia="仿宋"/>
          <w:sz w:val="32"/>
          <w:szCs w:val="32"/>
          <w:lang w:eastAsia="zh-CN"/>
        </w:rPr>
        <w:t>。</w:t>
      </w:r>
      <w:r>
        <w:rPr>
          <w:rFonts w:hint="eastAsia" w:ascii="仿宋" w:hAnsi="仿宋" w:eastAsia="仿宋"/>
          <w:sz w:val="32"/>
          <w:szCs w:val="32"/>
        </w:rPr>
        <w:t>主要变动原因是202</w:t>
      </w:r>
      <w:r>
        <w:rPr>
          <w:rFonts w:hint="eastAsia" w:ascii="仿宋" w:hAnsi="仿宋" w:eastAsia="仿宋"/>
          <w:sz w:val="32"/>
          <w:szCs w:val="32"/>
          <w:lang w:val="en-US" w:eastAsia="zh-CN"/>
        </w:rPr>
        <w:t>2</w:t>
      </w:r>
      <w:r>
        <w:rPr>
          <w:rFonts w:hint="eastAsia" w:ascii="仿宋" w:hAnsi="仿宋" w:eastAsia="仿宋"/>
          <w:sz w:val="32"/>
          <w:szCs w:val="32"/>
        </w:rPr>
        <w:t>年度年初结转结余</w:t>
      </w:r>
      <w:r>
        <w:rPr>
          <w:rFonts w:hint="eastAsia" w:ascii="仿宋" w:hAnsi="仿宋" w:eastAsia="仿宋"/>
          <w:sz w:val="32"/>
          <w:szCs w:val="32"/>
          <w:lang w:eastAsia="zh-CN"/>
        </w:rPr>
        <w:t>减少</w:t>
      </w:r>
      <w:r>
        <w:rPr>
          <w:rFonts w:hint="eastAsia" w:ascii="仿宋" w:hAnsi="仿宋" w:eastAsia="仿宋"/>
          <w:sz w:val="32"/>
          <w:szCs w:val="32"/>
        </w:rPr>
        <w:t>。</w:t>
      </w:r>
    </w:p>
    <w:p>
      <w:pPr>
        <w:pStyle w:val="17"/>
        <w:jc w:val="center"/>
        <w:rPr>
          <w:rFonts w:hint="eastAsia" w:ascii="仿宋" w:hAnsi="仿宋" w:eastAsia="仿宋"/>
          <w:sz w:val="32"/>
          <w:szCs w:val="32"/>
        </w:rPr>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30"/>
        <w:numPr>
          <w:ilvl w:val="0"/>
          <w:numId w:val="1"/>
        </w:numPr>
        <w:spacing w:line="600" w:lineRule="exact"/>
        <w:ind w:firstLineChars="0"/>
        <w:outlineLvl w:val="1"/>
        <w:rPr>
          <w:rStyle w:val="32"/>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32"/>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646.47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646.47</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7"/>
        <w:jc w:val="center"/>
      </w:pPr>
      <w:r>
        <w:drawing>
          <wp:inline distT="0" distB="0" distL="114300" distR="114300">
            <wp:extent cx="4040505" cy="2448560"/>
            <wp:effectExtent l="4445" t="5080" r="12700" b="228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Fonts w:ascii="仿宋" w:hAnsi="仿宋" w:eastAsia="仿宋"/>
          <w:sz w:val="32"/>
          <w:szCs w:val="32"/>
        </w:rPr>
      </w:pP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30"/>
        <w:numPr>
          <w:ilvl w:val="0"/>
          <w:numId w:val="1"/>
        </w:numPr>
        <w:spacing w:line="600" w:lineRule="exact"/>
        <w:ind w:firstLineChars="0"/>
        <w:outlineLvl w:val="1"/>
        <w:rPr>
          <w:rStyle w:val="32"/>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32"/>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646.47</w:t>
      </w:r>
      <w:r>
        <w:rPr>
          <w:rFonts w:hint="eastAsia" w:ascii="仿宋" w:hAnsi="仿宋" w:eastAsia="仿宋"/>
          <w:sz w:val="32"/>
          <w:szCs w:val="32"/>
        </w:rPr>
        <w:t>万元，其中：基本支出</w:t>
      </w:r>
      <w:r>
        <w:rPr>
          <w:rFonts w:hint="eastAsia" w:ascii="仿宋" w:hAnsi="仿宋" w:eastAsia="仿宋"/>
          <w:sz w:val="32"/>
          <w:szCs w:val="32"/>
          <w:lang w:val="en-US" w:eastAsia="zh-CN"/>
        </w:rPr>
        <w:t>516.98</w:t>
      </w:r>
      <w:r>
        <w:rPr>
          <w:rFonts w:hint="eastAsia" w:ascii="仿宋" w:hAnsi="仿宋" w:eastAsia="仿宋"/>
          <w:sz w:val="32"/>
          <w:szCs w:val="32"/>
        </w:rPr>
        <w:t>万元，占</w:t>
      </w:r>
      <w:r>
        <w:rPr>
          <w:rFonts w:hint="eastAsia" w:ascii="仿宋" w:hAnsi="仿宋" w:eastAsia="仿宋"/>
          <w:sz w:val="32"/>
          <w:szCs w:val="32"/>
          <w:lang w:val="en-US" w:eastAsia="zh-CN"/>
        </w:rPr>
        <w:t>79.96</w:t>
      </w:r>
      <w:r>
        <w:rPr>
          <w:rFonts w:ascii="仿宋" w:hAnsi="仿宋" w:eastAsia="仿宋"/>
          <w:sz w:val="32"/>
          <w:szCs w:val="32"/>
        </w:rPr>
        <w:t>%</w:t>
      </w:r>
      <w:r>
        <w:rPr>
          <w:rFonts w:hint="eastAsia" w:ascii="仿宋" w:hAnsi="仿宋" w:eastAsia="仿宋"/>
          <w:sz w:val="32"/>
          <w:szCs w:val="32"/>
        </w:rPr>
        <w:t>；项目支出129.49万元，占</w:t>
      </w:r>
      <w:r>
        <w:rPr>
          <w:rFonts w:hint="eastAsia" w:ascii="仿宋" w:hAnsi="仿宋" w:eastAsia="仿宋"/>
          <w:sz w:val="32"/>
          <w:szCs w:val="32"/>
          <w:lang w:val="en-US" w:eastAsia="zh-CN"/>
        </w:rPr>
        <w:t>20.04</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shd w:val="pct10" w:color="auto" w:fill="FFFFFF"/>
        </w:rPr>
      </w:pPr>
    </w:p>
    <w:p>
      <w:pPr>
        <w:pStyle w:val="17"/>
        <w:jc w:val="both"/>
        <w:rPr>
          <w:rFonts w:hint="eastAsia" w:ascii="仿宋" w:hAnsi="仿宋" w:eastAsia="仿宋"/>
          <w:sz w:val="32"/>
          <w:szCs w:val="32"/>
        </w:rPr>
      </w:pPr>
      <w: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2"/>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eastAsia="zh-CN"/>
        </w:rPr>
        <w:t>财政拨款</w:t>
      </w:r>
      <w:r>
        <w:rPr>
          <w:rFonts w:hint="eastAsia" w:ascii="仿宋" w:hAnsi="仿宋" w:eastAsia="仿宋"/>
          <w:sz w:val="32"/>
          <w:szCs w:val="32"/>
        </w:rPr>
        <w:t>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646.47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646.47</w:t>
      </w:r>
      <w:r>
        <w:rPr>
          <w:rFonts w:hint="eastAsia" w:ascii="仿宋" w:hAnsi="仿宋" w:eastAsia="仿宋"/>
          <w:sz w:val="32"/>
          <w:szCs w:val="32"/>
        </w:rPr>
        <w:t>万元。与2021年度收入总计1008.11万元相比，收入总计减少361.64万元，减少35.87%；与2021年度支出总计1008.11万元相比，支出总计减少361.64万元，减少35.87%。</w:t>
      </w:r>
      <w:r>
        <w:rPr>
          <w:rFonts w:hint="eastAsia" w:ascii="仿宋" w:hAnsi="仿宋" w:eastAsia="仿宋"/>
          <w:sz w:val="32"/>
          <w:szCs w:val="32"/>
          <w:lang w:eastAsia="zh-CN"/>
        </w:rPr>
        <w:t>主要变动原因是</w:t>
      </w:r>
      <w:r>
        <w:rPr>
          <w:rFonts w:hint="eastAsia" w:ascii="仿宋" w:hAnsi="仿宋" w:eastAsia="仿宋"/>
          <w:sz w:val="32"/>
          <w:szCs w:val="32"/>
        </w:rPr>
        <w:t>2022年度年初结转结余减少。</w:t>
      </w:r>
    </w:p>
    <w:p>
      <w:pPr>
        <w:pStyle w:val="17"/>
        <w:rPr>
          <w:rFonts w:ascii="仿宋" w:hAnsi="仿宋" w:eastAsia="仿宋"/>
          <w:sz w:val="32"/>
          <w:szCs w:val="32"/>
        </w:rPr>
      </w:pPr>
      <w:r>
        <w:drawing>
          <wp:inline distT="0" distB="0" distL="114300" distR="114300">
            <wp:extent cx="4572000" cy="2743200"/>
            <wp:effectExtent l="4445" t="4445" r="14605" b="1460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（图4：财政拨款收、支决算总计变动情况）（柱状图）</w:t>
      </w:r>
    </w:p>
    <w:p>
      <w:pPr>
        <w:pStyle w:val="17"/>
      </w:pPr>
    </w:p>
    <w:p>
      <w:pPr>
        <w:spacing w:line="600" w:lineRule="exact"/>
        <w:ind w:firstLine="640" w:firstLineChars="200"/>
        <w:outlineLvl w:val="1"/>
        <w:rPr>
          <w:rStyle w:val="32"/>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646.47</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21年相比，支出总计减少361.64万元，减少35.87%。主要变动原因是2022年度年初结转结余减少。</w:t>
      </w:r>
    </w:p>
    <w:p>
      <w:pPr>
        <w:pStyle w:val="17"/>
      </w:pPr>
      <w:r>
        <w:drawing>
          <wp:inline distT="0" distB="0" distL="114300" distR="114300">
            <wp:extent cx="4572000" cy="2743200"/>
            <wp:effectExtent l="4445" t="4445" r="14605" b="14605"/>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napToGrid w:val="0"/>
        <w:spacing w:line="520" w:lineRule="exact"/>
        <w:ind w:firstLine="640" w:firstLineChars="200"/>
        <w:rPr>
          <w:rFonts w:hint="eastAsia" w:ascii="仿宋" w:hAnsi="仿宋" w:eastAsia="仿宋" w:cs="Times New Roman"/>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646.47</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val="0"/>
          <w:bCs w:val="0"/>
          <w:sz w:val="32"/>
          <w:szCs w:val="32"/>
        </w:rPr>
        <w:t>252.46</w:t>
      </w:r>
      <w:r>
        <w:rPr>
          <w:rFonts w:hint="eastAsia" w:ascii="仿宋" w:hAnsi="仿宋" w:eastAsia="仿宋"/>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39.05</w:t>
      </w:r>
      <w:r>
        <w:rPr>
          <w:rFonts w:hint="eastAsia" w:ascii="仿宋" w:hAnsi="仿宋" w:eastAsia="仿宋" w:cs="Times New Roman"/>
          <w:sz w:val="32"/>
          <w:szCs w:val="32"/>
        </w:rPr>
        <w:t>%；</w:t>
      </w:r>
      <w:r>
        <w:rPr>
          <w:rFonts w:hint="eastAsia" w:ascii="仿宋" w:hAnsi="仿宋" w:eastAsia="仿宋" w:cs="Times New Roman"/>
          <w:b/>
          <w:sz w:val="32"/>
          <w:szCs w:val="32"/>
        </w:rPr>
        <w:t>文化旅游体育与传媒支出</w:t>
      </w:r>
      <w:r>
        <w:rPr>
          <w:rFonts w:hint="eastAsia" w:ascii="仿宋" w:hAnsi="仿宋" w:eastAsia="仿宋" w:cs="Times New Roman"/>
          <w:sz w:val="32"/>
          <w:szCs w:val="32"/>
          <w:lang w:val="en-US" w:eastAsia="zh-CN"/>
        </w:rPr>
        <w:t>56.01</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8.63</w:t>
      </w:r>
      <w:r>
        <w:rPr>
          <w:rFonts w:hint="eastAsia" w:ascii="仿宋" w:hAnsi="仿宋" w:eastAsia="仿宋" w:cs="Times New Roman"/>
          <w:sz w:val="32"/>
          <w:szCs w:val="32"/>
        </w:rPr>
        <w:t>％；</w:t>
      </w:r>
      <w:r>
        <w:rPr>
          <w:rFonts w:hint="eastAsia" w:ascii="仿宋" w:hAnsi="仿宋" w:eastAsia="仿宋" w:cs="Times New Roman"/>
          <w:b/>
          <w:sz w:val="32"/>
          <w:szCs w:val="32"/>
        </w:rPr>
        <w:t>社会保障和就业支出</w:t>
      </w:r>
      <w:bookmarkStart w:id="36" w:name="OLE_LINK1"/>
      <w:r>
        <w:rPr>
          <w:rFonts w:hint="eastAsia" w:ascii="仿宋" w:hAnsi="仿宋" w:eastAsia="仿宋" w:cs="Times New Roman"/>
          <w:sz w:val="32"/>
          <w:szCs w:val="32"/>
          <w:lang w:val="en-US" w:eastAsia="zh-CN"/>
        </w:rPr>
        <w:t>67.13</w:t>
      </w:r>
      <w:bookmarkEnd w:id="36"/>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10.38</w:t>
      </w:r>
      <w:r>
        <w:rPr>
          <w:rFonts w:hint="eastAsia" w:ascii="仿宋" w:hAnsi="仿宋" w:eastAsia="仿宋" w:cs="Times New Roman"/>
          <w:sz w:val="32"/>
          <w:szCs w:val="32"/>
        </w:rPr>
        <w:t>％；</w:t>
      </w:r>
      <w:r>
        <w:rPr>
          <w:rFonts w:hint="eastAsia" w:ascii="仿宋" w:hAnsi="仿宋" w:eastAsia="仿宋" w:cs="Times New Roman"/>
          <w:b/>
          <w:sz w:val="32"/>
          <w:szCs w:val="32"/>
        </w:rPr>
        <w:t>卫生健康支出</w:t>
      </w:r>
      <w:r>
        <w:rPr>
          <w:rFonts w:hint="eastAsia" w:ascii="仿宋" w:hAnsi="仿宋" w:eastAsia="仿宋" w:cs="Times New Roman"/>
          <w:sz w:val="32"/>
          <w:szCs w:val="32"/>
          <w:lang w:val="en-US" w:eastAsia="zh-CN"/>
        </w:rPr>
        <w:t>19.27</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占</w:t>
      </w:r>
      <w:r>
        <w:rPr>
          <w:rFonts w:hint="eastAsia" w:ascii="仿宋" w:hAnsi="仿宋" w:eastAsia="仿宋" w:cs="Times New Roman"/>
          <w:sz w:val="32"/>
          <w:szCs w:val="32"/>
          <w:lang w:val="en-US" w:eastAsia="zh-CN"/>
        </w:rPr>
        <w:t>2.98</w:t>
      </w:r>
      <w:r>
        <w:rPr>
          <w:rFonts w:hint="eastAsia" w:ascii="仿宋" w:hAnsi="仿宋" w:eastAsia="仿宋" w:cs="Times New Roman"/>
          <w:sz w:val="32"/>
          <w:szCs w:val="32"/>
        </w:rPr>
        <w:t>％；</w:t>
      </w:r>
      <w:r>
        <w:rPr>
          <w:rFonts w:hint="eastAsia" w:ascii="仿宋" w:hAnsi="仿宋" w:eastAsia="仿宋" w:cs="Times New Roman"/>
          <w:b/>
          <w:sz w:val="32"/>
          <w:szCs w:val="32"/>
        </w:rPr>
        <w:t>城乡社区支出</w:t>
      </w:r>
      <w:r>
        <w:rPr>
          <w:rFonts w:hint="eastAsia" w:ascii="仿宋" w:hAnsi="仿宋" w:eastAsia="仿宋" w:cs="Times New Roman"/>
          <w:sz w:val="32"/>
          <w:szCs w:val="32"/>
          <w:lang w:val="en-US" w:eastAsia="zh-CN"/>
        </w:rPr>
        <w:t>8.06</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1.25</w:t>
      </w:r>
      <w:r>
        <w:rPr>
          <w:rFonts w:hint="eastAsia" w:ascii="仿宋" w:hAnsi="仿宋" w:eastAsia="仿宋" w:cs="Times New Roman"/>
          <w:sz w:val="32"/>
          <w:szCs w:val="32"/>
        </w:rPr>
        <w:t>％；</w:t>
      </w:r>
      <w:r>
        <w:rPr>
          <w:rFonts w:hint="eastAsia" w:ascii="仿宋" w:hAnsi="仿宋" w:eastAsia="仿宋" w:cs="Times New Roman"/>
          <w:b/>
          <w:sz w:val="32"/>
          <w:szCs w:val="32"/>
        </w:rPr>
        <w:t>农林水支出</w:t>
      </w:r>
      <w:r>
        <w:rPr>
          <w:rFonts w:hint="eastAsia" w:ascii="仿宋" w:hAnsi="仿宋" w:eastAsia="仿宋" w:cs="Times New Roman"/>
          <w:sz w:val="32"/>
          <w:szCs w:val="32"/>
          <w:lang w:val="en-US" w:eastAsia="zh-CN"/>
        </w:rPr>
        <w:t>214.64</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33.2</w:t>
      </w:r>
      <w:r>
        <w:rPr>
          <w:rFonts w:hint="eastAsia" w:ascii="仿宋" w:hAnsi="仿宋" w:eastAsia="仿宋" w:cs="Times New Roman"/>
          <w:sz w:val="32"/>
          <w:szCs w:val="32"/>
        </w:rPr>
        <w:t>％；</w:t>
      </w:r>
      <w:r>
        <w:rPr>
          <w:rFonts w:hint="eastAsia" w:ascii="仿宋" w:hAnsi="仿宋" w:eastAsia="仿宋" w:cs="Times New Roman"/>
          <w:b/>
          <w:sz w:val="32"/>
          <w:szCs w:val="32"/>
        </w:rPr>
        <w:t>住房保障支出</w:t>
      </w:r>
      <w:r>
        <w:rPr>
          <w:rFonts w:hint="eastAsia" w:ascii="仿宋" w:hAnsi="仿宋" w:eastAsia="仿宋" w:cs="Times New Roman"/>
          <w:sz w:val="32"/>
          <w:szCs w:val="32"/>
          <w:lang w:val="en-US" w:eastAsia="zh-CN"/>
        </w:rPr>
        <w:t>28.91</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4.47</w:t>
      </w:r>
      <w:r>
        <w:rPr>
          <w:rFonts w:hint="eastAsia" w:ascii="仿宋" w:hAnsi="仿宋" w:eastAsia="仿宋" w:cs="Times New Roman"/>
          <w:sz w:val="32"/>
          <w:szCs w:val="32"/>
        </w:rPr>
        <w:t>％</w:t>
      </w:r>
      <w:r>
        <w:rPr>
          <w:rFonts w:hint="eastAsia" w:ascii="仿宋" w:hAnsi="仿宋" w:eastAsia="仿宋" w:cs="Times New Roman"/>
          <w:sz w:val="32"/>
          <w:szCs w:val="32"/>
          <w:lang w:eastAsia="zh-CN"/>
        </w:rPr>
        <w:t>。</w:t>
      </w:r>
    </w:p>
    <w:p>
      <w:pPr>
        <w:pStyle w:val="17"/>
        <w:rPr>
          <w:rFonts w:hint="eastAsia" w:ascii="仿宋" w:hAnsi="仿宋" w:eastAsia="仿宋" w:cs="Times New Roman"/>
          <w:sz w:val="32"/>
          <w:szCs w:val="32"/>
        </w:rPr>
      </w:pPr>
    </w:p>
    <w:p>
      <w:pPr>
        <w:jc w:val="center"/>
        <w:rPr>
          <w:rFonts w:ascii="仿宋" w:hAnsi="仿宋" w:eastAsia="仿宋"/>
          <w:sz w:val="32"/>
          <w:szCs w:val="32"/>
        </w:rPr>
      </w:pPr>
      <w:r>
        <w:drawing>
          <wp:inline distT="0" distB="0" distL="114300" distR="114300">
            <wp:extent cx="4572000" cy="2790825"/>
            <wp:effectExtent l="4445" t="4445" r="14605" b="508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2" w:firstLineChars="200"/>
        <w:outlineLvl w:val="2"/>
        <w:rPr>
          <w:rFonts w:ascii="仿宋" w:hAnsi="仿宋" w:eastAsia="仿宋"/>
          <w:b/>
          <w:sz w:val="32"/>
          <w:szCs w:val="32"/>
        </w:rPr>
      </w:pPr>
      <w:bookmarkStart w:id="37" w:name="_Toc15377212"/>
      <w:r>
        <w:rPr>
          <w:rFonts w:hint="eastAsia" w:ascii="仿宋" w:hAnsi="仿宋" w:eastAsia="仿宋"/>
          <w:b/>
          <w:sz w:val="32"/>
          <w:szCs w:val="32"/>
        </w:rPr>
        <w:t>（三）一般公共预算财政拨款支出决算具体情况</w:t>
      </w:r>
      <w:bookmarkEnd w:id="37"/>
    </w:p>
    <w:p>
      <w:pPr>
        <w:spacing w:line="600" w:lineRule="exact"/>
        <w:ind w:firstLine="642" w:firstLineChars="200"/>
        <w:outlineLvl w:val="2"/>
        <w:rPr>
          <w:rFonts w:ascii="仿宋" w:hAnsi="仿宋" w:eastAsia="仿宋"/>
          <w:sz w:val="32"/>
          <w:szCs w:val="32"/>
        </w:rPr>
      </w:pPr>
      <w:bookmarkStart w:id="38" w:name="_Toc15377444"/>
      <w:bookmarkStart w:id="39" w:name="_Toc15377213"/>
      <w:bookmarkStart w:id="40"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646.47万元</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38"/>
      <w:bookmarkEnd w:id="39"/>
      <w:bookmarkEnd w:id="40"/>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w:t>
      </w:r>
      <w:r>
        <w:rPr>
          <w:rStyle w:val="20"/>
          <w:rFonts w:hint="eastAsia" w:ascii="仿宋" w:hAnsi="仿宋" w:eastAsia="仿宋"/>
          <w:b w:val="0"/>
          <w:bCs/>
          <w:color w:val="000000"/>
          <w:sz w:val="32"/>
          <w:szCs w:val="32"/>
        </w:rPr>
        <w:t>一般公共服务（类）人大事务（款）代表工作（项）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1.59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2.</w:t>
      </w:r>
      <w:r>
        <w:rPr>
          <w:rStyle w:val="20"/>
          <w:rFonts w:hint="eastAsia" w:ascii="仿宋" w:hAnsi="仿宋" w:eastAsia="仿宋"/>
          <w:b w:val="0"/>
          <w:bCs/>
          <w:color w:val="000000"/>
          <w:sz w:val="32"/>
          <w:szCs w:val="32"/>
        </w:rPr>
        <w:t>一般公共服务（类）政府办公厅（室）及相关机构事务（款）行政运行（项）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w:t>
      </w:r>
      <w:r>
        <w:rPr>
          <w:rStyle w:val="20"/>
          <w:rFonts w:hint="eastAsia" w:ascii="仿宋" w:hAnsi="仿宋" w:eastAsia="仿宋"/>
          <w:b w:val="0"/>
          <w:bCs/>
          <w:color w:val="000000"/>
          <w:sz w:val="32"/>
          <w:szCs w:val="32"/>
          <w:lang w:val="en-US" w:eastAsia="zh-CN"/>
        </w:rPr>
        <w:t>240.59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3.</w:t>
      </w:r>
      <w:r>
        <w:rPr>
          <w:rStyle w:val="20"/>
          <w:rFonts w:hint="eastAsia" w:ascii="仿宋" w:hAnsi="仿宋" w:eastAsia="仿宋"/>
          <w:b w:val="0"/>
          <w:bCs/>
          <w:color w:val="000000"/>
          <w:sz w:val="32"/>
          <w:szCs w:val="32"/>
        </w:rPr>
        <w:t>一般公共服务（类）政府办公厅（室）及相关机构事务（款）一般行政管理事务（项）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1.87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4.</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3.60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5.</w:t>
      </w:r>
      <w:r>
        <w:rPr>
          <w:rStyle w:val="20"/>
          <w:rFonts w:hint="eastAsia" w:ascii="仿宋" w:hAnsi="仿宋" w:eastAsia="仿宋"/>
          <w:b w:val="0"/>
          <w:bCs/>
          <w:color w:val="000000"/>
          <w:sz w:val="32"/>
          <w:szCs w:val="32"/>
        </w:rPr>
        <w:t>一般公共服务（类）纪检监察事务（款</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其他纪检监察事务支出（项）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4.60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6.</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群众团体</w:t>
      </w:r>
      <w:r>
        <w:rPr>
          <w:rStyle w:val="20"/>
          <w:rFonts w:hint="eastAsia" w:ascii="仿宋" w:hAnsi="仿宋" w:eastAsia="仿宋"/>
          <w:b w:val="0"/>
          <w:bCs/>
          <w:color w:val="000000"/>
          <w:sz w:val="32"/>
          <w:szCs w:val="32"/>
        </w:rPr>
        <w:t>事务（款）</w:t>
      </w:r>
      <w:r>
        <w:rPr>
          <w:rStyle w:val="20"/>
          <w:rFonts w:hint="eastAsia" w:ascii="仿宋" w:hAnsi="仿宋" w:eastAsia="仿宋"/>
          <w:b w:val="0"/>
          <w:bCs/>
          <w:color w:val="000000"/>
          <w:sz w:val="32"/>
          <w:szCs w:val="32"/>
          <w:lang w:val="en-US" w:eastAsia="zh-CN"/>
        </w:rPr>
        <w:t>其他群众团体事务支出</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default" w:ascii="仿宋" w:hAnsi="仿宋" w:eastAsia="仿宋"/>
          <w:b w:val="0"/>
          <w:bCs/>
          <w:color w:val="auto"/>
          <w:sz w:val="32"/>
          <w:szCs w:val="32"/>
          <w:lang w:val="en-US" w:eastAsia="zh-CN"/>
        </w:rPr>
      </w:pPr>
      <w:r>
        <w:rPr>
          <w:rStyle w:val="20"/>
          <w:rFonts w:hint="eastAsia" w:ascii="仿宋" w:hAnsi="仿宋" w:eastAsia="仿宋"/>
          <w:b w:val="0"/>
          <w:bCs/>
          <w:color w:val="auto"/>
          <w:sz w:val="32"/>
          <w:szCs w:val="32"/>
          <w:lang w:val="en-US" w:eastAsia="zh-CN"/>
        </w:rPr>
        <w:t>7.</w:t>
      </w:r>
      <w:r>
        <w:rPr>
          <w:rStyle w:val="20"/>
          <w:rFonts w:hint="eastAsia" w:ascii="仿宋" w:hAnsi="仿宋" w:eastAsia="仿宋"/>
          <w:b w:val="0"/>
          <w:bCs/>
          <w:color w:val="000000"/>
          <w:sz w:val="32"/>
          <w:szCs w:val="32"/>
        </w:rPr>
        <w:t>文化旅游体育与传媒</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（类）文化和旅游（款）</w:t>
      </w:r>
      <w:r>
        <w:rPr>
          <w:rStyle w:val="20"/>
          <w:rFonts w:hint="eastAsia" w:ascii="仿宋" w:hAnsi="仿宋" w:eastAsia="仿宋"/>
          <w:b w:val="0"/>
          <w:bCs/>
          <w:color w:val="000000"/>
          <w:sz w:val="32"/>
          <w:szCs w:val="32"/>
          <w:lang w:val="en-US" w:eastAsia="zh-CN"/>
        </w:rPr>
        <w:t>文化和旅游管理事务</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56.01</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8</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（类）民政管理事务（款）基层政权建设和社区治理（项）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28.59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9</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（类）行政事业单位养老支出（款）机关事业单位基本养老保险缴费支出（项）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38.55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10</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（类）行政事业单位医疗（款）行政单位医疗（项）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9.56</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pPr>
      <w:r>
        <w:rPr>
          <w:rStyle w:val="20"/>
          <w:rFonts w:hint="eastAsia" w:ascii="仿宋" w:hAnsi="仿宋" w:eastAsia="仿宋"/>
          <w:b w:val="0"/>
          <w:bCs/>
          <w:color w:val="000000"/>
          <w:sz w:val="32"/>
          <w:szCs w:val="32"/>
          <w:lang w:val="en-US" w:eastAsia="zh-CN"/>
        </w:rPr>
        <w:t>11</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（类）行政事业单位医疗（款）事业单位医疗（项）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9.72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12</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城乡社区</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（类）城乡社区环境卫生（款）城乡社区环境卫生（项）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8.06</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13</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101.46</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14</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防灾救灾</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20.80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hint="eastAsia"/>
          <w:lang w:eastAsia="zh-CN"/>
        </w:rPr>
      </w:pPr>
      <w:r>
        <w:rPr>
          <w:rStyle w:val="20"/>
          <w:rFonts w:hint="eastAsia" w:ascii="仿宋" w:hAnsi="仿宋" w:eastAsia="仿宋"/>
          <w:b w:val="0"/>
          <w:bCs/>
          <w:color w:val="000000"/>
          <w:sz w:val="32"/>
          <w:szCs w:val="32"/>
          <w:lang w:val="en-US" w:eastAsia="zh-CN"/>
        </w:rPr>
        <w:t>15</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eastAsia="zh-CN"/>
        </w:rPr>
        <w:t>水利</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eastAsia="zh-CN"/>
        </w:rPr>
        <w:t>抗旱</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5.00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16</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（类）巩固脱贫衔接乡村振兴（款）其他巩固脱贫衔接乡村振兴支出（项）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13.13</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17</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（类）农村综合改革（款）对村民委员会和村党支部的补助（项）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74.24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ascii="仿宋" w:hAnsi="仿宋" w:eastAsia="仿宋"/>
          <w:b/>
          <w:sz w:val="32"/>
          <w:szCs w:val="32"/>
        </w:rPr>
      </w:pPr>
      <w:r>
        <w:rPr>
          <w:rStyle w:val="20"/>
          <w:rFonts w:hint="eastAsia" w:ascii="仿宋" w:hAnsi="仿宋" w:eastAsia="仿宋"/>
          <w:b w:val="0"/>
          <w:bCs/>
          <w:color w:val="000000"/>
          <w:sz w:val="32"/>
          <w:szCs w:val="32"/>
          <w:lang w:val="en-US" w:eastAsia="zh-CN"/>
        </w:rPr>
        <w:t>18</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住房保障</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（类）住房改革支出（款）住房公积金（项）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28.91</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tabs>
          <w:tab w:val="right" w:pos="8306"/>
        </w:tabs>
        <w:spacing w:line="600" w:lineRule="exact"/>
        <w:ind w:firstLine="640"/>
        <w:outlineLvl w:val="1"/>
        <w:rPr>
          <w:rStyle w:val="32"/>
        </w:rPr>
      </w:pPr>
      <w:bookmarkStart w:id="41" w:name="_Toc15377214"/>
      <w:bookmarkStart w:id="42"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41"/>
      <w:bookmarkEnd w:id="42"/>
      <w:r>
        <w:rPr>
          <w:rStyle w:val="32"/>
          <w:rFonts w:ascii="黑体" w:hAnsi="黑体" w:eastAsia="黑体"/>
          <w:b w:val="0"/>
        </w:rPr>
        <w:tab/>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516.98</w:t>
      </w:r>
      <w:r>
        <w:rPr>
          <w:rFonts w:hint="eastAsia" w:ascii="仿宋" w:hAnsi="仿宋" w:eastAsia="仿宋"/>
          <w:sz w:val="32"/>
          <w:szCs w:val="32"/>
        </w:rPr>
        <w:t>万元，其中：</w:t>
      </w:r>
    </w:p>
    <w:p>
      <w:pPr>
        <w:spacing w:line="600" w:lineRule="exact"/>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473.59</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生活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43.39</w:t>
      </w:r>
      <w:r>
        <w:rPr>
          <w:rFonts w:hint="eastAsia" w:ascii="仿宋" w:hAnsi="仿宋" w:eastAsia="仿宋"/>
          <w:sz w:val="32"/>
          <w:szCs w:val="32"/>
        </w:rPr>
        <w:t>万元，主要包括：办公费、印刷费、手续费、水费、电费、邮电费、差旅费、维修（护）费、会议费、培训费、公务接待费、劳务费、委托业务费、工会经费、福利费、其他交通费、其他商品和服务支出、其他资本性支出等。</w:t>
      </w:r>
    </w:p>
    <w:p>
      <w:pPr>
        <w:spacing w:line="600" w:lineRule="exact"/>
        <w:ind w:firstLine="640"/>
        <w:outlineLvl w:val="1"/>
        <w:rPr>
          <w:rStyle w:val="32"/>
          <w:rFonts w:ascii="黑体" w:hAnsi="黑体" w:eastAsia="黑体"/>
          <w:b w:val="0"/>
        </w:rPr>
      </w:pPr>
      <w:bookmarkStart w:id="43" w:name="_Toc15396609"/>
      <w:bookmarkStart w:id="44" w:name="_Toc15377215"/>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43"/>
      <w:bookmarkEnd w:id="44"/>
    </w:p>
    <w:p>
      <w:pPr>
        <w:spacing w:line="600" w:lineRule="exact"/>
        <w:ind w:firstLine="640"/>
        <w:outlineLvl w:val="2"/>
        <w:rPr>
          <w:rFonts w:ascii="仿宋" w:hAnsi="仿宋" w:eastAsia="仿宋"/>
          <w:b/>
          <w:sz w:val="32"/>
          <w:szCs w:val="32"/>
        </w:rPr>
      </w:pPr>
      <w:bookmarkStart w:id="45" w:name="_Toc15377216"/>
      <w:r>
        <w:rPr>
          <w:rFonts w:hint="eastAsia" w:ascii="仿宋" w:hAnsi="仿宋" w:eastAsia="仿宋"/>
          <w:b/>
          <w:sz w:val="32"/>
          <w:szCs w:val="32"/>
        </w:rPr>
        <w:t>（一）“三公”经费财政拨款支出决算总体情况说明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1.57</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w:t>
      </w:r>
      <w:r>
        <w:rPr>
          <w:rFonts w:hint="eastAsia" w:ascii="仿宋" w:hAnsi="仿宋" w:eastAsia="仿宋"/>
          <w:sz w:val="32"/>
          <w:szCs w:val="32"/>
          <w:lang w:eastAsia="zh-CN"/>
        </w:rPr>
        <w:t>减少</w:t>
      </w:r>
      <w:r>
        <w:rPr>
          <w:rFonts w:hint="eastAsia" w:ascii="仿宋" w:hAnsi="仿宋" w:eastAsia="仿宋"/>
          <w:sz w:val="32"/>
          <w:szCs w:val="32"/>
          <w:lang w:val="en-US" w:eastAsia="zh-CN"/>
        </w:rPr>
        <w:t>1.82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53.68</w:t>
      </w:r>
      <w:r>
        <w:rPr>
          <w:rFonts w:hint="eastAsia" w:ascii="仿宋" w:hAnsi="仿宋" w:eastAsia="仿宋"/>
          <w:sz w:val="32"/>
          <w:szCs w:val="32"/>
        </w:rPr>
        <w:t>%。主要原因是</w:t>
      </w:r>
      <w:r>
        <w:rPr>
          <w:rFonts w:hint="eastAsia" w:ascii="仿宋" w:hAnsi="仿宋" w:eastAsia="仿宋"/>
          <w:sz w:val="32"/>
          <w:szCs w:val="32"/>
          <w:lang w:eastAsia="zh-CN"/>
        </w:rPr>
        <w:t>厉行节约，合理开支</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6" w:name="_Toc15377217"/>
      <w:r>
        <w:rPr>
          <w:rFonts w:hint="eastAsia" w:ascii="仿宋" w:hAnsi="仿宋" w:eastAsia="仿宋"/>
          <w:b/>
          <w:sz w:val="32"/>
          <w:szCs w:val="32"/>
        </w:rPr>
        <w:t>（二）“三公”经费财政拨款支出决算具体情况说明</w:t>
      </w:r>
      <w:bookmarkEnd w:id="46"/>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1.57</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17"/>
        <w:rPr>
          <w:rFonts w:hint="eastAsia" w:ascii="仿宋" w:hAnsi="仿宋" w:eastAsia="仿宋"/>
          <w:sz w:val="32"/>
          <w:szCs w:val="32"/>
        </w:rPr>
      </w:pPr>
      <w:r>
        <w:drawing>
          <wp:inline distT="0" distB="0" distL="114300" distR="114300">
            <wp:extent cx="4847590" cy="2695575"/>
            <wp:effectExtent l="4445" t="5080" r="5715" b="444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r>
        <w:rPr>
          <w:rFonts w:hint="eastAsia" w:ascii="仿宋" w:hAnsi="仿宋" w:eastAsia="仿宋"/>
          <w:sz w:val="32"/>
          <w:szCs w:val="32"/>
        </w:rPr>
        <w:t>主要原因是无因公出国（境）安排</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_GB2312" w:eastAsia="仿宋_GB2312"/>
          <w:sz w:val="32"/>
          <w:szCs w:val="32"/>
          <w:lang w:eastAsia="zh-CN"/>
        </w:rPr>
        <w:t>无公务用车</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1.57</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年减少1.82万元，减少53.68%。主要原因是</w:t>
      </w:r>
      <w:r>
        <w:rPr>
          <w:rFonts w:hint="eastAsia" w:ascii="仿宋" w:hAnsi="仿宋" w:eastAsia="仿宋"/>
          <w:sz w:val="32"/>
          <w:szCs w:val="32"/>
          <w:lang w:eastAsia="zh-CN"/>
        </w:rPr>
        <w:t>厉行节约，合理开支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_GB2312" w:eastAsia="仿宋_GB2312"/>
          <w:b/>
          <w:sz w:val="32"/>
          <w:szCs w:val="32"/>
          <w:lang w:val="en-US" w:eastAsia="zh-CN"/>
        </w:rPr>
        <w:t>1.57</w:t>
      </w:r>
      <w:r>
        <w:rPr>
          <w:rFonts w:hint="eastAsia" w:ascii="仿宋_GB2312" w:eastAsia="仿宋_GB2312"/>
          <w:sz w:val="32"/>
          <w:szCs w:val="32"/>
        </w:rPr>
        <w:t>万元，主要用于执行公务、开展业务活动开支住宿费、用餐费等。国内公务接待</w:t>
      </w:r>
      <w:r>
        <w:rPr>
          <w:rFonts w:hint="eastAsia" w:ascii="仿宋_GB2312" w:eastAsia="仿宋_GB2312"/>
          <w:sz w:val="32"/>
          <w:szCs w:val="32"/>
          <w:lang w:val="en-US" w:eastAsia="zh-CN"/>
        </w:rPr>
        <w:t>59</w:t>
      </w:r>
      <w:r>
        <w:rPr>
          <w:rFonts w:hint="eastAsia" w:ascii="仿宋_GB2312" w:eastAsia="仿宋_GB2312"/>
          <w:sz w:val="32"/>
          <w:szCs w:val="32"/>
        </w:rPr>
        <w:t>批次，</w:t>
      </w:r>
      <w:r>
        <w:rPr>
          <w:rFonts w:hint="eastAsia" w:ascii="仿宋_GB2312" w:eastAsia="仿宋_GB2312"/>
          <w:sz w:val="32"/>
          <w:szCs w:val="32"/>
          <w:lang w:val="en-US" w:eastAsia="zh-CN"/>
        </w:rPr>
        <w:t>515</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1.57</w:t>
      </w:r>
      <w:r>
        <w:rPr>
          <w:rFonts w:hint="eastAsia" w:ascii="仿宋_GB2312" w:eastAsia="仿宋_GB2312"/>
          <w:sz w:val="32"/>
          <w:szCs w:val="32"/>
        </w:rPr>
        <w:t>万元，具体内容包括：</w:t>
      </w:r>
      <w:r>
        <w:rPr>
          <w:rFonts w:hint="eastAsia" w:ascii="仿宋_GB2312" w:eastAsia="仿宋_GB2312"/>
          <w:sz w:val="32"/>
          <w:szCs w:val="32"/>
          <w:lang w:eastAsia="zh-CN"/>
        </w:rPr>
        <w:t>接待上级部门检查工作开支的住宿费、用餐费共计</w:t>
      </w:r>
      <w:r>
        <w:rPr>
          <w:rFonts w:hint="eastAsia" w:ascii="仿宋_GB2312" w:eastAsia="仿宋_GB2312"/>
          <w:sz w:val="32"/>
          <w:szCs w:val="32"/>
          <w:lang w:val="en-US" w:eastAsia="zh-CN"/>
        </w:rPr>
        <w:t>1.57万元</w:t>
      </w:r>
      <w:r>
        <w:rPr>
          <w:rFonts w:hint="eastAsia" w:ascii="仿宋_GB2312" w:eastAsia="仿宋_GB2312"/>
          <w:sz w:val="32"/>
          <w:szCs w:val="32"/>
        </w:rPr>
        <w:t>。</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7" w:name="_Toc15396610"/>
      <w:bookmarkStart w:id="48" w:name="_Toc15377218"/>
    </w:p>
    <w:p>
      <w:pPr>
        <w:spacing w:line="600" w:lineRule="exact"/>
        <w:ind w:firstLine="640"/>
        <w:outlineLvl w:val="1"/>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32"/>
          <w:rFonts w:ascii="黑体" w:hAnsi="黑体" w:eastAsia="黑体"/>
          <w:b w:val="0"/>
        </w:rPr>
      </w:pPr>
      <w:bookmarkStart w:id="49" w:name="_Toc15377219"/>
      <w:bookmarkStart w:id="50" w:name="_Toc15396611"/>
      <w:r>
        <w:rPr>
          <w:rStyle w:val="32"/>
          <w:rFonts w:hint="eastAsia" w:ascii="黑体" w:hAnsi="黑体" w:eastAsia="黑体"/>
          <w:b w:val="0"/>
        </w:rPr>
        <w:t>国有资本经营预算支出决算情况说明</w:t>
      </w:r>
      <w:bookmarkEnd w:id="49"/>
      <w:bookmarkEnd w:id="5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both"/>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32"/>
          <w:rFonts w:ascii="黑体" w:hAnsi="黑体" w:eastAsia="黑体"/>
          <w:b w:val="0"/>
        </w:rPr>
      </w:pPr>
      <w:bookmarkStart w:id="51" w:name="_Toc15396612"/>
      <w:bookmarkStart w:id="52" w:name="_Toc15377221"/>
      <w:r>
        <w:rPr>
          <w:rStyle w:val="32"/>
          <w:rFonts w:hint="eastAsia" w:ascii="黑体" w:hAnsi="黑体" w:eastAsia="黑体"/>
          <w:b w:val="0"/>
        </w:rPr>
        <w:t>其他重要事项的情况说明</w:t>
      </w:r>
      <w:bookmarkEnd w:id="51"/>
      <w:bookmarkEnd w:id="52"/>
    </w:p>
    <w:p>
      <w:pPr>
        <w:spacing w:line="600" w:lineRule="exact"/>
        <w:ind w:firstLine="642" w:firstLineChars="200"/>
        <w:outlineLvl w:val="2"/>
        <w:rPr>
          <w:rFonts w:ascii="仿宋" w:hAnsi="仿宋" w:eastAsia="仿宋"/>
          <w:sz w:val="32"/>
          <w:szCs w:val="32"/>
        </w:rPr>
      </w:pPr>
      <w:bookmarkStart w:id="53" w:name="_Toc15377222"/>
      <w:r>
        <w:rPr>
          <w:rFonts w:hint="eastAsia" w:ascii="仿宋" w:hAnsi="仿宋" w:eastAsia="仿宋"/>
          <w:b/>
          <w:sz w:val="32"/>
          <w:szCs w:val="32"/>
        </w:rPr>
        <w:t>（一）机关运行经费支出情况</w:t>
      </w:r>
      <w:bookmarkEnd w:id="53"/>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剑阁县涂山镇人民政府</w:t>
      </w:r>
      <w:r>
        <w:rPr>
          <w:rFonts w:hint="eastAsia" w:ascii="仿宋_GB2312" w:eastAsia="仿宋_GB2312"/>
          <w:sz w:val="32"/>
          <w:szCs w:val="32"/>
        </w:rPr>
        <w:t>机关运行经费支出</w:t>
      </w:r>
      <w:r>
        <w:rPr>
          <w:rFonts w:hint="eastAsia" w:ascii="仿宋_GB2312" w:eastAsia="仿宋_GB2312"/>
          <w:sz w:val="32"/>
          <w:szCs w:val="32"/>
          <w:lang w:val="en-US" w:eastAsia="zh-CN"/>
        </w:rPr>
        <w:t>43.39</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148.89</w:t>
      </w:r>
      <w:r>
        <w:rPr>
          <w:rFonts w:hint="eastAsia" w:ascii="仿宋_GB2312" w:eastAsia="仿宋_GB2312"/>
          <w:sz w:val="32"/>
          <w:szCs w:val="32"/>
        </w:rPr>
        <w:t>万元，下降</w:t>
      </w:r>
      <w:r>
        <w:rPr>
          <w:rFonts w:hint="eastAsia" w:ascii="仿宋_GB2312" w:eastAsia="仿宋_GB2312"/>
          <w:sz w:val="32"/>
          <w:szCs w:val="32"/>
          <w:lang w:val="en-US" w:eastAsia="zh-CN"/>
        </w:rPr>
        <w:t>77.43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厉行节约，机关节能运转。</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3"/>
      <w:r>
        <w:rPr>
          <w:rFonts w:hint="eastAsia" w:ascii="仿宋" w:hAnsi="仿宋" w:eastAsia="仿宋"/>
          <w:b/>
          <w:sz w:val="32"/>
          <w:szCs w:val="32"/>
        </w:rPr>
        <w:t>（二）政府采购支出情况</w:t>
      </w:r>
      <w:bookmarkEnd w:id="5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剑阁县涂山镇人民政府</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5" w:name="_Toc15377224"/>
      <w:r>
        <w:rPr>
          <w:rFonts w:hint="eastAsia" w:ascii="仿宋" w:hAnsi="仿宋" w:eastAsia="仿宋"/>
          <w:b/>
          <w:sz w:val="32"/>
          <w:szCs w:val="32"/>
        </w:rPr>
        <w:t>（三）国有资产占有使用情况</w:t>
      </w:r>
      <w:bookmarkEnd w:id="55"/>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剑阁县涂山镇人民政府</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老促会工作经费、</w:t>
      </w:r>
      <w:r>
        <w:rPr>
          <w:rFonts w:hint="eastAsia" w:ascii="仿宋_GB2312" w:hAnsi="仿宋_GB2312" w:eastAsia="仿宋_GB2312" w:cs="仿宋_GB2312"/>
          <w:sz w:val="32"/>
          <w:szCs w:val="32"/>
        </w:rPr>
        <w:t>安全经费、人大会议经费、</w:t>
      </w:r>
      <w:r>
        <w:rPr>
          <w:rFonts w:hint="eastAsia" w:ascii="仿宋_GB2312" w:hAnsi="仿宋_GB2312" w:eastAsia="仿宋_GB2312" w:cs="仿宋_GB2312"/>
          <w:sz w:val="32"/>
          <w:szCs w:val="32"/>
          <w:lang w:val="en-US" w:eastAsia="zh-CN"/>
        </w:rPr>
        <w:t>人大办公费、文化配套、</w:t>
      </w:r>
      <w:r>
        <w:rPr>
          <w:rFonts w:hint="eastAsia" w:ascii="仿宋_GB2312" w:hAnsi="仿宋_GB2312" w:eastAsia="仿宋_GB2312" w:cs="仿宋_GB2312"/>
          <w:sz w:val="32"/>
          <w:szCs w:val="32"/>
        </w:rPr>
        <w:t>垃圾清运及处置项目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6个项目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b/>
          <w:sz w:val="32"/>
          <w:szCs w:val="32"/>
        </w:rPr>
      </w:pPr>
      <w:r>
        <w:rPr>
          <w:rFonts w:hint="eastAsia" w:ascii="仿宋_GB2312" w:hAnsi="仿宋_GB2312" w:eastAsia="仿宋_GB2312" w:cs="仿宋_GB2312"/>
          <w:sz w:val="32"/>
          <w:szCs w:val="32"/>
          <w:lang w:val="en-US" w:eastAsia="zh-CN"/>
        </w:rPr>
        <w:t>组织对2022年度一般公共预算、政府性基金预算、国有资本经营预算、社会保险基金预算以及资本资产、债券资金等全面开展绩效自评，形成剑阁县涂山镇人民政府部门整体（含部门预算项目）绩效自评报告、</w:t>
      </w:r>
      <w:r>
        <w:rPr>
          <w:rFonts w:hint="eastAsia" w:ascii="仿宋_GB2312" w:hAnsi="仿宋_GB2312" w:eastAsia="仿宋_GB2312" w:cs="仿宋_GB2312"/>
          <w:sz w:val="32"/>
          <w:szCs w:val="32"/>
          <w:lang w:val="zh-CN" w:eastAsia="zh-CN"/>
        </w:rPr>
        <w:t>垃圾场设计变更项目（化解隐性债务）项目</w:t>
      </w:r>
      <w:r>
        <w:rPr>
          <w:rFonts w:hint="eastAsia" w:ascii="仿宋_GB2312" w:hAnsi="仿宋_GB2312" w:eastAsia="仿宋_GB2312" w:cs="仿宋_GB2312"/>
          <w:sz w:val="32"/>
          <w:szCs w:val="32"/>
          <w:lang w:val="en-US" w:eastAsia="zh-CN"/>
        </w:rPr>
        <w:t>等专项预算项目绩效自评报告，其中，剑阁县涂山镇人民政部门整体（含部门预算项目）绩效自评得分为95分，绩效自评综述：我镇预算安排的基本支出保障了正常的工作运转，在预算执行上是严格遵守各项财经纪律的；在资金的管理和使用上，严守法律底线、纪律底线、道德底线。</w:t>
      </w:r>
      <w:r>
        <w:rPr>
          <w:rFonts w:hint="eastAsia" w:ascii="仿宋_GB2312" w:hAnsi="仿宋_GB2312" w:eastAsia="仿宋_GB2312" w:cs="仿宋_GB2312"/>
          <w:sz w:val="32"/>
          <w:szCs w:val="32"/>
          <w:lang w:val="zh-CN" w:eastAsia="zh-CN"/>
        </w:rPr>
        <w:t>垃圾场设计变更项目（化解隐性债务）项目</w:t>
      </w:r>
      <w:r>
        <w:rPr>
          <w:rFonts w:hint="eastAsia" w:ascii="仿宋_GB2312" w:hAnsi="仿宋_GB2312" w:eastAsia="仿宋_GB2312" w:cs="仿宋_GB2312"/>
          <w:sz w:val="32"/>
          <w:szCs w:val="32"/>
          <w:lang w:val="en-US" w:eastAsia="zh-CN"/>
        </w:rPr>
        <w:t>专项预算项目绩效自评得分为90分，绩效自评综述：通过预算执行全过程绩效监控，保障了债务化解工作的有效进行。绩效自评报告详见附件。</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1"/>
          <w:rFonts w:ascii="黑体" w:hAnsi="黑体" w:eastAsia="黑体"/>
          <w:b w:val="0"/>
        </w:rPr>
      </w:pPr>
      <w:bookmarkStart w:id="56" w:name="_Toc15377225"/>
      <w:bookmarkStart w:id="57" w:name="_Toc15396613"/>
      <w:r>
        <w:rPr>
          <w:rFonts w:hint="eastAsia" w:ascii="黑体" w:hAnsi="黑体" w:eastAsia="黑体"/>
          <w:sz w:val="44"/>
          <w:szCs w:val="44"/>
        </w:rPr>
        <w:t>名</w:t>
      </w:r>
      <w:r>
        <w:rPr>
          <w:rStyle w:val="31"/>
          <w:rFonts w:hint="eastAsia" w:ascii="黑体" w:hAnsi="黑体" w:eastAsia="黑体"/>
          <w:b w:val="0"/>
        </w:rPr>
        <w:t>词解释</w:t>
      </w:r>
      <w:bookmarkEnd w:id="56"/>
      <w:bookmarkEnd w:id="57"/>
    </w:p>
    <w:p>
      <w:pPr>
        <w:spacing w:line="600" w:lineRule="exact"/>
        <w:jc w:val="left"/>
        <w:rPr>
          <w:rFonts w:ascii="宋体"/>
          <w:b/>
          <w:sz w:val="44"/>
          <w:szCs w:val="44"/>
        </w:rPr>
      </w:pP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（一）一般公共预算拨款收入：指县级财政当年拨付的资金。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代表工作</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反映人大代表开展各类视察等方面的支出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行政运行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指反映行政单位（包括实行公务员管理的事业单位）的基本支出。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指反映事业单位的基本支出，不包括行政单位（包括实行公务员管理的事业单位）后勤服务中心、医务室等附属事业单位。</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其他纪检监察事务支出</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指反映除上述项目以外其他纪检监察事务方面的支出。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）群众团体事务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其他群众团体事务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指反映除上述项目以外其他用于群众团体事务方面的支出。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文化和旅游管理事务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指反映文化和旅游管理事务支出。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八</w:t>
      </w:r>
      <w:r>
        <w:rPr>
          <w:rFonts w:hint="default" w:ascii="仿宋_GB2312" w:hAnsi="仿宋_GB2312" w:cs="仿宋_GB2312"/>
          <w:b w:val="0"/>
          <w:bCs/>
          <w:sz w:val="32"/>
          <w:szCs w:val="32"/>
          <w:lang w:val="en-US" w:eastAsia="zh-CN"/>
        </w:rPr>
        <w:t>）社会保障和就业（类</w:t>
      </w:r>
      <w:r>
        <w:rPr>
          <w:rFonts w:hint="eastAsia" w:ascii="仿宋_GB2312" w:hAnsi="仿宋_GB2312" w:cs="仿宋_GB2312"/>
          <w:b w:val="0"/>
          <w:bCs/>
          <w:sz w:val="32"/>
          <w:szCs w:val="32"/>
          <w:lang w:val="en-US" w:eastAsia="zh-CN"/>
        </w:rPr>
        <w:t>）民政管理事务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基层政权建设和社区治理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指反映开展城乡社区治理、城乡社区服务（乡村便民服务）、村（居）民自治、村（居）务公开、乡镇（街道）服务能力建设等基层政权建设和社区治理工作的支出。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九</w:t>
      </w:r>
      <w:r>
        <w:rPr>
          <w:rFonts w:hint="default" w:ascii="仿宋_GB2312" w:hAnsi="仿宋_GB2312" w:cs="仿宋_GB2312"/>
          <w:b w:val="0"/>
          <w:bCs/>
          <w:sz w:val="32"/>
          <w:szCs w:val="32"/>
          <w:lang w:val="en-US" w:eastAsia="zh-CN"/>
        </w:rPr>
        <w:t>）社会保障和就业（类）行政事业单位离退休（款）机关事业单位基本养老保险缴费支出（项）：指部门实施养老保险制度由单位缴纳的养老保险费的支出。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w:t>
      </w:r>
      <w:r>
        <w:rPr>
          <w:rFonts w:hint="default" w:ascii="仿宋_GB2312" w:hAnsi="仿宋_GB2312" w:cs="仿宋_GB2312"/>
          <w:b w:val="0"/>
          <w:bCs/>
          <w:sz w:val="32"/>
          <w:szCs w:val="32"/>
          <w:lang w:val="en-US" w:eastAsia="zh-CN"/>
        </w:rPr>
        <w:t>）卫生健康</w:t>
      </w:r>
      <w:r>
        <w:rPr>
          <w:rFonts w:hint="eastAsia" w:ascii="仿宋_GB2312" w:hAnsi="仿宋_GB2312" w:cs="仿宋_GB2312"/>
          <w:b w:val="0"/>
          <w:bCs/>
          <w:sz w:val="32"/>
          <w:szCs w:val="32"/>
          <w:lang w:val="en-US" w:eastAsia="zh-CN"/>
        </w:rPr>
        <w:t>支出</w:t>
      </w:r>
      <w:r>
        <w:rPr>
          <w:rFonts w:hint="default" w:ascii="仿宋_GB2312" w:hAnsi="仿宋_GB2312" w:cs="仿宋_GB2312"/>
          <w:b w:val="0"/>
          <w:bCs/>
          <w:sz w:val="32"/>
          <w:szCs w:val="32"/>
          <w:lang w:val="en-US" w:eastAsia="zh-CN"/>
        </w:rPr>
        <w:t>（类）行政事业单位医疗（款）行政单位医疗（项）：指局机关及参公管理事业单位用于缴纳单位基本医疗保险支出。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十一</w:t>
      </w:r>
      <w:r>
        <w:rPr>
          <w:rFonts w:hint="default" w:ascii="仿宋_GB2312" w:hAnsi="仿宋_GB2312" w:cs="仿宋_GB2312"/>
          <w:b w:val="0"/>
          <w:bCs/>
          <w:sz w:val="32"/>
          <w:szCs w:val="32"/>
          <w:lang w:val="en-US" w:eastAsia="zh-CN"/>
        </w:rPr>
        <w:t>）卫生健康</w:t>
      </w:r>
      <w:r>
        <w:rPr>
          <w:rFonts w:hint="eastAsia" w:ascii="仿宋_GB2312" w:hAnsi="仿宋_GB2312" w:cs="仿宋_GB2312"/>
          <w:b w:val="0"/>
          <w:bCs/>
          <w:sz w:val="32"/>
          <w:szCs w:val="32"/>
          <w:lang w:val="en-US" w:eastAsia="zh-CN"/>
        </w:rPr>
        <w:t>支出</w:t>
      </w:r>
      <w:r>
        <w:rPr>
          <w:rFonts w:hint="default" w:ascii="仿宋_GB2312" w:hAnsi="仿宋_GB2312" w:cs="仿宋_GB2312"/>
          <w:b w:val="0"/>
          <w:bCs/>
          <w:sz w:val="32"/>
          <w:szCs w:val="32"/>
          <w:lang w:val="en-US" w:eastAsia="zh-CN"/>
        </w:rPr>
        <w:t>（类）行政事业单位医疗（款）事业单位医疗（项）：指事业单位用于缴纳单位基本医疗保险支出。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城乡社区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城乡社区规划和管理</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城乡社区环境卫生</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反映城乡社区道路清扫、垃圾清运与处理、公厕建设与维护、园林绿化等方面的支出。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反映用于农业事业单位基本支出，事业单位设施、系统运行与资产维护等方面的支出。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防灾减灾（项）：反映对农业生产因遭受自然、生物灾害损失给予的补助，促进农业防灾增产措施补助，海难救助补助，因其他灾害导致农牧渔业生产者损失给予的补贴。</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（十五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水利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抗旱</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反映抗旱业务支出。</w:t>
      </w:r>
    </w:p>
    <w:p>
      <w:pPr>
        <w:pStyle w:val="9"/>
        <w:numPr>
          <w:ilvl w:val="0"/>
          <w:numId w:val="0"/>
        </w:numPr>
        <w:ind w:firstLine="640" w:firstLineChars="200"/>
        <w:jc w:val="both"/>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（十六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巩固脱贫衔接与乡村振兴</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其他巩固脱贫衔接乡村振兴支出</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反映除上述项目以外其他用于巩固拓展脱贫攻坚成果同乡村振兴有效衔接方面的支出。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（十七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对村民委员会和村党支部的补助</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反映各级财政对村民委员会和村党支部的补助支出，以及支持建立县级基本财力保障机制安排的村级组织运转奖补资金。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（十八</w:t>
      </w:r>
      <w:r>
        <w:rPr>
          <w:rFonts w:hint="default" w:ascii="仿宋_GB2312" w:hAnsi="仿宋_GB2312" w:cs="仿宋_GB2312"/>
          <w:b w:val="0"/>
          <w:bCs/>
          <w:sz w:val="32"/>
          <w:szCs w:val="32"/>
          <w:lang w:val="en-US" w:eastAsia="zh-CN"/>
        </w:rPr>
        <w:t>）住房保障（类）住房改革支出（款）住房公积金（项）：指按照《住房公积金管理条例》的规定，由单位及其在职职工缴存的长期住房储金。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十九</w:t>
      </w:r>
      <w:r>
        <w:rPr>
          <w:rFonts w:hint="default" w:ascii="仿宋_GB2312" w:hAnsi="仿宋_GB2312" w:cs="仿宋_GB2312"/>
          <w:b w:val="0"/>
          <w:bCs/>
          <w:sz w:val="32"/>
          <w:szCs w:val="32"/>
          <w:lang w:val="en-US" w:eastAsia="zh-CN"/>
        </w:rPr>
        <w:t>）基本支出：指为保证机构正常运转，完成日常工作任务而发生的人员支出和公用支出。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w:t>
      </w:r>
      <w:r>
        <w:rPr>
          <w:rFonts w:hint="default" w:ascii="仿宋_GB2312" w:hAnsi="仿宋_GB2312" w:cs="仿宋_GB2312"/>
          <w:b w:val="0"/>
          <w:bCs/>
          <w:sz w:val="32"/>
          <w:szCs w:val="32"/>
          <w:lang w:val="en-US" w:eastAsia="zh-CN"/>
        </w:rPr>
        <w:t>）项目支出：指在基本支出之外为完成特定行政任务和事业发展目标所发生的支出。</w:t>
      </w:r>
    </w:p>
    <w:p>
      <w:pPr>
        <w:pStyle w:val="9"/>
        <w:numPr>
          <w:ilvl w:val="0"/>
          <w:numId w:val="0"/>
        </w:numPr>
        <w:ind w:firstLine="640" w:firstLineChars="200"/>
        <w:rPr>
          <w:rFonts w:hint="eastAsia" w:ascii="黑体" w:hAnsi="黑体" w:eastAsia="黑体"/>
          <w:sz w:val="44"/>
          <w:szCs w:val="44"/>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二十一</w:t>
      </w:r>
      <w:r>
        <w:rPr>
          <w:rFonts w:hint="default" w:ascii="仿宋_GB2312" w:hAnsi="仿宋_GB2312" w:cs="仿宋_GB2312"/>
          <w:b w:val="0"/>
          <w:bCs/>
          <w:sz w:val="32"/>
          <w:szCs w:val="32"/>
          <w:lang w:val="en-US" w:eastAsia="zh-CN"/>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2" w:firstLineChars="200"/>
        <w:rPr>
          <w:rFonts w:ascii="仿宋" w:hAnsi="仿宋" w:eastAsia="仿宋"/>
          <w:b/>
          <w:sz w:val="32"/>
          <w:szCs w:val="32"/>
        </w:rPr>
      </w:pPr>
    </w:p>
    <w:p>
      <w:pPr>
        <w:spacing w:line="600" w:lineRule="exact"/>
        <w:jc w:val="center"/>
        <w:outlineLvl w:val="0"/>
        <w:rPr>
          <w:rStyle w:val="31"/>
          <w:rFonts w:ascii="黑体" w:hAnsi="黑体" w:eastAsia="黑体"/>
          <w:b w:val="0"/>
        </w:rPr>
      </w:pPr>
      <w:bookmarkStart w:id="58" w:name="_Toc15377226"/>
      <w:r>
        <w:rPr>
          <w:rFonts w:ascii="宋体"/>
          <w:b/>
          <w:sz w:val="44"/>
          <w:szCs w:val="44"/>
        </w:rPr>
        <w:br w:type="page"/>
      </w:r>
      <w:bookmarkStart w:id="59" w:name="_Toc15396614"/>
      <w:r>
        <w:rPr>
          <w:rFonts w:hint="eastAsia" w:ascii="黑体" w:hAnsi="黑体" w:eastAsia="黑体"/>
          <w:sz w:val="44"/>
          <w:szCs w:val="44"/>
        </w:rPr>
        <w:t>第</w:t>
      </w:r>
      <w:r>
        <w:rPr>
          <w:rStyle w:val="31"/>
          <w:rFonts w:hint="eastAsia" w:ascii="黑体" w:hAnsi="黑体" w:eastAsia="黑体"/>
          <w:b w:val="0"/>
        </w:rPr>
        <w:t>四部分 附件</w:t>
      </w:r>
      <w:bookmarkEnd w:id="59"/>
    </w:p>
    <w:p>
      <w:pPr>
        <w:spacing w:line="572" w:lineRule="exact"/>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val="en-US" w:eastAsia="zh-CN"/>
        </w:rPr>
        <w:t>202</w:t>
      </w:r>
      <w:r>
        <w:rPr>
          <w:rFonts w:hint="eastAsia" w:ascii="宋体" w:hAnsi="宋体"/>
          <w:b/>
          <w:sz w:val="44"/>
          <w:szCs w:val="44"/>
          <w:highlight w:val="none"/>
          <w:shd w:val="clear" w:color="auto" w:fill="FFFFFF"/>
          <w:lang w:val="en-US" w:eastAsia="zh-CN"/>
        </w:rPr>
        <w:t>2</w:t>
      </w:r>
      <w:r>
        <w:rPr>
          <w:rFonts w:hint="eastAsia" w:ascii="宋体" w:hAnsi="宋体" w:eastAsia="宋体"/>
          <w:b/>
          <w:sz w:val="44"/>
          <w:szCs w:val="44"/>
          <w:highlight w:val="none"/>
          <w:shd w:val="clear" w:color="auto" w:fill="FFFFFF"/>
          <w:lang w:val="en-US" w:eastAsia="zh-CN"/>
        </w:rPr>
        <w:t>年</w:t>
      </w:r>
      <w:r>
        <w:rPr>
          <w:rFonts w:hint="eastAsia" w:ascii="宋体" w:hAnsi="宋体" w:eastAsia="宋体"/>
          <w:b/>
          <w:sz w:val="44"/>
          <w:szCs w:val="44"/>
          <w:highlight w:val="none"/>
          <w:shd w:val="clear" w:color="auto" w:fill="FFFFFF"/>
          <w:lang w:eastAsia="zh-CN"/>
        </w:rPr>
        <w:t>剑阁县</w:t>
      </w:r>
      <w:r>
        <w:rPr>
          <w:rFonts w:hint="eastAsia" w:ascii="宋体" w:hAnsi="宋体"/>
          <w:b/>
          <w:sz w:val="44"/>
          <w:szCs w:val="44"/>
          <w:highlight w:val="none"/>
          <w:shd w:val="clear" w:color="auto" w:fill="FFFFFF"/>
          <w:lang w:eastAsia="zh-CN"/>
        </w:rPr>
        <w:t>涂山</w:t>
      </w:r>
      <w:r>
        <w:rPr>
          <w:rFonts w:hint="eastAsia" w:ascii="宋体" w:hAnsi="宋体" w:eastAsia="宋体"/>
          <w:b/>
          <w:sz w:val="44"/>
          <w:szCs w:val="44"/>
          <w:highlight w:val="none"/>
          <w:shd w:val="clear" w:color="auto" w:fill="FFFFFF"/>
          <w:lang w:eastAsia="zh-CN"/>
        </w:rPr>
        <w:t>镇人民政府</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eastAsia="zh-CN"/>
        </w:rPr>
        <w:t>部门</w:t>
      </w:r>
      <w:r>
        <w:rPr>
          <w:rFonts w:hint="eastAsia" w:ascii="宋体" w:hAnsi="宋体" w:eastAsia="宋体"/>
          <w:b/>
          <w:sz w:val="44"/>
          <w:szCs w:val="44"/>
          <w:highlight w:val="none"/>
          <w:shd w:val="clear" w:color="auto" w:fill="FFFFFF"/>
        </w:rPr>
        <w:t>整体</w:t>
      </w:r>
      <w:r>
        <w:rPr>
          <w:rFonts w:hint="eastAsia" w:ascii="宋体" w:hAnsi="宋体" w:eastAsia="宋体"/>
          <w:b/>
          <w:sz w:val="44"/>
          <w:szCs w:val="44"/>
          <w:highlight w:val="none"/>
          <w:shd w:val="clear" w:color="auto" w:fill="FFFFFF"/>
          <w:lang w:eastAsia="zh-CN"/>
        </w:rPr>
        <w:t>支出</w:t>
      </w:r>
      <w:r>
        <w:rPr>
          <w:rFonts w:hint="eastAsia" w:ascii="宋体" w:hAnsi="宋体" w:eastAsia="宋体"/>
          <w:b/>
          <w:sz w:val="44"/>
          <w:szCs w:val="44"/>
          <w:highlight w:val="none"/>
          <w:shd w:val="clear" w:color="auto" w:fill="FFFFFF"/>
        </w:rPr>
        <w:t>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ascii="黑体" w:hAnsi="宋体" w:eastAsia="黑体" w:cs="宋体"/>
          <w:color w:val="000000"/>
          <w:kern w:val="0"/>
          <w:sz w:val="24"/>
          <w:szCs w:val="32"/>
          <w:highlight w:val="none"/>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涂山镇内设机构（五办四中心）：党政综合与乡村振兴办公室、党建工作办公室、综合行政执法办公室、社会事务办公室 、经济发展办公室 、便民服务中心、农业综合服务中心、乡村建设和文化服务中心、农民工服务中心。</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hint="eastAsia" w:ascii="仿宋" w:hAnsi="仿宋" w:eastAsia="仿宋" w:cs="仿宋"/>
          <w:color w:val="000000"/>
          <w:kern w:val="0"/>
          <w:sz w:val="32"/>
          <w:szCs w:val="32"/>
          <w:shd w:val="clear" w:color="auto" w:fill="FFFFFF"/>
          <w:lang w:val="en-US" w:eastAsia="zh-CN" w:bidi="ar-SA"/>
        </w:rPr>
        <w:cr/>
      </w:r>
      <w:r>
        <w:rPr>
          <w:rFonts w:hint="eastAsia" w:ascii="仿宋" w:hAnsi="仿宋" w:eastAsia="仿宋" w:cs="仿宋"/>
          <w:color w:val="000000"/>
          <w:kern w:val="0"/>
          <w:sz w:val="32"/>
          <w:szCs w:val="32"/>
          <w:shd w:val="clear" w:color="auto" w:fill="FFFFFF"/>
          <w:lang w:val="en-US" w:eastAsia="zh-CN" w:bidi="ar-SA"/>
        </w:rPr>
        <w:t xml:space="preserve">    2、制定并组织实施乡村建设规划，部署重点工程建设，地方道路建设及公共设施，水利设施的管理，负责土地、林木、水等自然资源和生态环境的保护，做好护林防火工作。</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   </w:t>
      </w:r>
      <w:r>
        <w:rPr>
          <w:rFonts w:hint="eastAsia" w:ascii="仿宋" w:hAnsi="仿宋" w:eastAsia="仿宋" w:cs="仿宋"/>
          <w:color w:val="000000"/>
          <w:kern w:val="0"/>
          <w:sz w:val="32"/>
          <w:szCs w:val="32"/>
          <w:shd w:val="clear" w:color="auto" w:fill="FFFFFF"/>
          <w:lang w:val="en-US" w:eastAsia="zh-CN" w:bidi="ar-SA"/>
        </w:rPr>
        <w:cr/>
      </w:r>
      <w:r>
        <w:rPr>
          <w:rFonts w:hint="eastAsia" w:ascii="仿宋" w:hAnsi="仿宋" w:eastAsia="仿宋" w:cs="仿宋"/>
          <w:color w:val="000000"/>
          <w:kern w:val="0"/>
          <w:sz w:val="32"/>
          <w:szCs w:val="32"/>
          <w:shd w:val="clear" w:color="auto" w:fill="FFFFFF"/>
          <w:lang w:val="en-US" w:eastAsia="zh-CN" w:bidi="ar-SA"/>
        </w:rPr>
        <w:t xml:space="preserve">    4、抓好精神文明建设，丰富群众文化生活，提倡移风易俗，反对封建迷信，破除陈规陋习，树立社会主义新风尚。</w:t>
      </w:r>
      <w:r>
        <w:rPr>
          <w:rFonts w:hint="eastAsia" w:ascii="仿宋" w:hAnsi="仿宋" w:eastAsia="仿宋" w:cs="仿宋"/>
          <w:color w:val="000000"/>
          <w:kern w:val="0"/>
          <w:sz w:val="32"/>
          <w:szCs w:val="32"/>
          <w:shd w:val="clear" w:color="auto" w:fill="FFFFFF"/>
          <w:lang w:val="en-US" w:eastAsia="zh-CN" w:bidi="ar-SA"/>
        </w:rPr>
        <w:cr/>
      </w:r>
      <w:r>
        <w:rPr>
          <w:rFonts w:hint="eastAsia" w:ascii="仿宋" w:hAnsi="仿宋" w:eastAsia="仿宋" w:cs="仿宋"/>
          <w:color w:val="000000"/>
          <w:kern w:val="0"/>
          <w:sz w:val="32"/>
          <w:szCs w:val="32"/>
          <w:shd w:val="clear" w:color="auto" w:fill="FFFFFF"/>
          <w:lang w:val="en-US" w:eastAsia="zh-CN" w:bidi="ar-SA"/>
        </w:rPr>
        <w:t xml:space="preserve">    5、完成上级政府交办的其它事项。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（三）人员概况。</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en-US" w:eastAsia="zh-CN" w:bidi="ar-SA"/>
        </w:rPr>
        <w:t>2022年我镇总编制36名，其中行政编制17名，机关工勤编制1名，事业编制18名。年末在职人员总数36人，其中行政人员15人，事业人员17人，机关工勤人员1人。</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2022年涂山镇人民政府收入总额为646.47万元，其中：一般公共预算财政拨款收入646.47万元。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i w:val="0"/>
          <w:caps w:val="0"/>
          <w:color w:val="666666"/>
          <w:spacing w:val="0"/>
          <w:sz w:val="32"/>
          <w:szCs w:val="32"/>
          <w:shd w:val="clear" w:fill="FFFFFF"/>
          <w:lang w:val="en-US" w:eastAsia="zh-CN"/>
        </w:rPr>
      </w:pPr>
      <w:r>
        <w:rPr>
          <w:rFonts w:hint="eastAsia" w:ascii="仿宋" w:hAnsi="仿宋" w:eastAsia="仿宋" w:cs="仿宋"/>
          <w:color w:val="000000"/>
          <w:kern w:val="0"/>
          <w:sz w:val="32"/>
          <w:szCs w:val="32"/>
          <w:shd w:val="clear" w:color="auto" w:fill="FFFFFF"/>
          <w:lang w:val="zh-CN"/>
        </w:rPr>
        <w:t>（二）部门财政资金支出情况。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 xml:space="preserve">2022年一般公共预算财政拨款支出646.47万元，主要用于以下方面:一般公共服务支出252.46万元，占39.05%；文化旅游体育与传媒支出56.01万元，占8.63％；社会保障和就业支出67.13万元，占10.38％；卫生健康支出19.27万元，占2.98％；城乡社区支出8.06万元，占1.25％；农林水支出214.64万元，占33.2％；住房保障支出28.91万元，占4.47％；2021 年一般公共预算财政拨款支出 1008.11 万元，主要用于以下方面:一般公共服务支出 463.12 万元，占 45.94%；国防支出 0.50 万元，占 0.05%；文化旅游体育与传媒支出 14.08 万元，占 1.40%；社会保障和就业支出 65.56 万元，占 6.50%；卫生健康支出 26.86 万元，占 2.7%；城乡社区支出 14.91 万元，占 1.48%；农林水支出 395.23 万元，占 39.20%；资源勘探工业信息支出 2.81 万元，占 0.27%；住房保障支出 25.03 万元，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占 2.48%。</w:t>
      </w:r>
    </w:p>
    <w:p>
      <w:pPr>
        <w:spacing w:line="600" w:lineRule="exact"/>
        <w:ind w:firstLine="640"/>
        <w:rPr>
          <w:rFonts w:hint="eastAsia"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1.人员类项目绩效分析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zh-CN" w:eastAsia="zh-CN" w:bidi="ar-SA"/>
        </w:rPr>
        <w:t>人员类项目保障职工工资待遇及五险一金正常发放，促进机关职能运转。我单位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2022年人员类项目预算473.59万元，实际支付473.59万元，资金执行率100%，执行情况较好。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2.运转类项目绩效分析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zh-CN" w:eastAsia="zh-CN" w:bidi="ar-SA"/>
        </w:rPr>
        <w:t>运转类项目保障机关运转，日常水电气、办公费、差旅费等开销。我单位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2022年运转类项目预算43.39万元，实际支付43.39万元，资金执行率100%，机关日常事务运转得到充分保障，预算执行情况较好。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3.特定目标类项目绩效分析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FF0000"/>
          <w:spacing w:val="0"/>
          <w:kern w:val="0"/>
          <w:sz w:val="32"/>
          <w:szCs w:val="32"/>
          <w:shd w:val="clear" w:fill="FFFFFF"/>
          <w:lang w:val="zh-CN" w:eastAsia="zh-CN" w:bidi="ar-SA"/>
        </w:rPr>
      </w:pPr>
      <w:r>
        <w:rPr>
          <w:rFonts w:hint="eastAsia" w:ascii="仿宋" w:hAnsi="仿宋" w:eastAsia="仿宋" w:cs="仿宋"/>
          <w:b w:val="0"/>
          <w:bCs w:val="0"/>
          <w:i w:val="0"/>
          <w:iCs w:val="0"/>
          <w:caps w:val="0"/>
          <w:color w:val="auto"/>
          <w:spacing w:val="0"/>
          <w:kern w:val="0"/>
          <w:sz w:val="32"/>
          <w:szCs w:val="32"/>
          <w:shd w:val="clear" w:fill="FFFFFF"/>
          <w:lang w:val="en-US" w:eastAsia="zh-CN" w:bidi="ar-SA"/>
        </w:rPr>
        <w:t>特定目标类</w:t>
      </w:r>
      <w:r>
        <w:rPr>
          <w:rFonts w:hint="eastAsia" w:ascii="仿宋" w:hAnsi="仿宋" w:eastAsia="仿宋" w:cs="仿宋"/>
          <w:b w:val="0"/>
          <w:bCs w:val="0"/>
          <w:i w:val="0"/>
          <w:iCs w:val="0"/>
          <w:caps w:val="0"/>
          <w:color w:val="auto"/>
          <w:spacing w:val="0"/>
          <w:kern w:val="0"/>
          <w:sz w:val="32"/>
          <w:szCs w:val="32"/>
          <w:shd w:val="clear" w:fill="FFFFFF"/>
          <w:lang w:val="zh-CN" w:eastAsia="zh-CN" w:bidi="ar-SA"/>
        </w:rPr>
        <w:t>项目用于保障村级支出，及其他项目支出。我单位</w:t>
      </w:r>
      <w:r>
        <w:rPr>
          <w:rFonts w:hint="eastAsia" w:ascii="仿宋" w:hAnsi="仿宋" w:eastAsia="仿宋" w:cs="仿宋"/>
          <w:b w:val="0"/>
          <w:bCs w:val="0"/>
          <w:i w:val="0"/>
          <w:iCs w:val="0"/>
          <w:caps w:val="0"/>
          <w:color w:val="auto"/>
          <w:spacing w:val="0"/>
          <w:kern w:val="0"/>
          <w:sz w:val="32"/>
          <w:szCs w:val="32"/>
          <w:shd w:val="clear" w:fill="FFFFFF"/>
          <w:lang w:val="en-US" w:eastAsia="zh-CN" w:bidi="ar-SA"/>
        </w:rPr>
        <w:t>2022年特定目标类项目预算228.77万元，实际支付228.77万元，资金执行率100%，执行情况较好。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w:t>
      </w:r>
      <w:r>
        <w:rPr>
          <w:rFonts w:hint="eastAsia" w:ascii="仿宋" w:hAnsi="仿宋" w:eastAsia="仿宋" w:cs="仿宋"/>
          <w:color w:val="000000"/>
          <w:kern w:val="0"/>
          <w:sz w:val="32"/>
          <w:szCs w:val="32"/>
          <w:shd w:val="clear" w:color="auto" w:fill="FFFFFF"/>
          <w:lang w:val="zh-CN"/>
        </w:rPr>
        <w:t>结果应用情况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建立绩效评价结果的反馈与整改、激励与问责制度，进一步完善绩效评价结果的反馈和运用机制，将绩效结果向社会逐步公布，进一步增强责任感和紧迫感。将评价结果作为安排以后年度预算的重要依据，将一些绩效评价结果不好的项目取消，切实发挥绩效评价工作的应有作用。</w:t>
      </w:r>
    </w:p>
    <w:p>
      <w:pPr>
        <w:pStyle w:val="16"/>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leftChars="0"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自评质量</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绩效监控保障了我单位实现绩目标、提高预算执行效率、提升资金使用效益，并能及时发现纠正绩效运行中存在的问题，确保了绩效目标全面、如期完成。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（一）评价结论。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根据部门整体支出绩效评价指标体系的自评结果，我镇2022年度部门整体支出绩效自评得分为</w:t>
      </w:r>
      <w:r>
        <w:rPr>
          <w:rFonts w:hint="eastAsia" w:ascii="仿宋" w:hAnsi="仿宋" w:eastAsia="仿宋" w:cs="仿宋"/>
          <w:b w:val="0"/>
          <w:bCs w:val="0"/>
          <w:i w:val="0"/>
          <w:iCs w:val="0"/>
          <w:caps w:val="0"/>
          <w:color w:val="000000"/>
          <w:spacing w:val="0"/>
          <w:sz w:val="32"/>
          <w:szCs w:val="32"/>
          <w:highlight w:val="none"/>
          <w:shd w:val="clear" w:fill="FFFFFF"/>
          <w:lang w:val="en-US" w:eastAsia="zh-CN"/>
        </w:rPr>
        <w:t>100</w:t>
      </w:r>
      <w:r>
        <w:rPr>
          <w:rFonts w:hint="eastAsia" w:ascii="仿宋" w:hAnsi="仿宋" w:eastAsia="仿宋" w:cs="仿宋"/>
          <w:b w:val="0"/>
          <w:bCs w:val="0"/>
          <w:i w:val="0"/>
          <w:iCs w:val="0"/>
          <w:caps w:val="0"/>
          <w:color w:val="000000"/>
          <w:spacing w:val="0"/>
          <w:sz w:val="32"/>
          <w:szCs w:val="32"/>
          <w:shd w:val="clear" w:fill="FFFFFF"/>
          <w:lang w:val="en-US" w:eastAsia="zh-CN"/>
        </w:rPr>
        <w:t>分。</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本年我镇预算配置控制较好。财政供养人员控制在预算编制以内，编制内在职人员控制率小于100%。</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 预算执行方面。支出总额控制在预算总额以内，预算管理方面，制度执行总体较为有效，仍需进一步强化；资金使用管理需进一步加强。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3、资产管理方面，建立了资产管理制度，指定了专人对资产进行管理，定期对资产进行盘点和清理，总体执行较好。</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效率性评价和有效性评价。我镇预算安排的基本支出保障了正常的工作运转，在预算执行上是严格遵守各项财经纪律的；在资金的管理和使用上，严守法律底线、纪律底线、道德底线。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lang w:val="zh-CN"/>
        </w:rPr>
      </w:pPr>
      <w:r>
        <w:rPr>
          <w:rFonts w:hint="eastAsia" w:ascii="仿宋" w:hAnsi="仿宋" w:eastAsia="仿宋" w:cs="仿宋"/>
          <w:b w:val="0"/>
          <w:bCs w:val="0"/>
          <w:i w:val="0"/>
          <w:iCs w:val="0"/>
          <w:caps w:val="0"/>
          <w:color w:val="000000"/>
          <w:spacing w:val="0"/>
          <w:sz w:val="32"/>
          <w:szCs w:val="32"/>
          <w:shd w:val="clear" w:fill="FFFFFF"/>
          <w:lang w:val="en-US" w:eastAsia="zh-CN"/>
        </w:rPr>
        <w:t>通过绩效评价工作的逐步推进，我镇已逐步树立了绩效理念，对预算计算评价工作的态度由“被动接受”变为“主动实施”，但了解还不够深入，对单位绩效重视程度不高，相关职责部门协同配合不够，往往只能由财务部门提供有限的财经资料或简单的工作计划、工作总结，绩效评价工作资料非常有限，内容粗浅。</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2、加强财务管理，严格财务审核。在费用报账支付时，按照预算规定的费用项目和用途进行资金使用审核、列报支付、财务核算，杜绝超支现象的发生。</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持续抓好“三公”经费控制管理。严格控制“三公”经费的规模和比例，把关“三公”经费支出的审核、审批，杜绝挪用和挤占其他预算资金行为；进一步细化“三公”经费的管理，合理压缩“三公”经费支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4、加强项目开展进度的跟踪，开展项目绩效评价，确保项目绩效目标的完成。</w:t>
      </w:r>
    </w:p>
    <w:p>
      <w:pPr>
        <w:pStyle w:val="17"/>
        <w:rPr>
          <w:rFonts w:hint="eastAsia" w:ascii="黑体" w:hAnsi="黑体" w:eastAsia="黑体" w:cs="黑体"/>
          <w:sz w:val="32"/>
          <w:szCs w:val="32"/>
        </w:rPr>
      </w:pPr>
    </w:p>
    <w:tbl>
      <w:tblPr>
        <w:tblStyle w:val="1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462"/>
        <w:gridCol w:w="477"/>
        <w:gridCol w:w="812"/>
        <w:gridCol w:w="989"/>
        <w:gridCol w:w="283"/>
        <w:gridCol w:w="991"/>
        <w:gridCol w:w="252"/>
        <w:gridCol w:w="1032"/>
        <w:gridCol w:w="284"/>
        <w:gridCol w:w="1098"/>
        <w:gridCol w:w="696"/>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62" w:type="pct"/>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lang w:val="en-US"/>
              </w:rPr>
            </w:pPr>
            <w:r>
              <w:rPr>
                <w:rFonts w:hint="eastAsia" w:ascii="黑体" w:hAnsi="宋体" w:eastAsia="黑体" w:cs="黑体"/>
                <w:i w:val="0"/>
                <w:iCs w:val="0"/>
                <w:color w:val="000000"/>
                <w:kern w:val="0"/>
                <w:sz w:val="21"/>
                <w:szCs w:val="21"/>
                <w:u w:val="none"/>
                <w:lang w:val="en-US" w:eastAsia="zh-CN" w:bidi="ar"/>
              </w:rPr>
              <w:t>附件2</w:t>
            </w:r>
          </w:p>
        </w:tc>
        <w:tc>
          <w:tcPr>
            <w:tcW w:w="454" w:type="pct"/>
            <w:tcBorders>
              <w:top w:val="nil"/>
              <w:left w:val="nil"/>
              <w:bottom w:val="nil"/>
              <w:right w:val="nil"/>
            </w:tcBorders>
            <w:shd w:val="clear" w:color="auto" w:fill="auto"/>
            <w:noWrap/>
            <w:vAlign w:val="center"/>
          </w:tcPr>
          <w:p>
            <w:pPr>
              <w:jc w:val="both"/>
              <w:rPr>
                <w:rFonts w:hint="eastAsia" w:ascii="黑体" w:hAnsi="宋体" w:eastAsia="黑体" w:cs="黑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58"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41"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77"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15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614"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8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436"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部门（单位）名称</w:t>
            </w:r>
          </w:p>
        </w:tc>
        <w:tc>
          <w:tcPr>
            <w:tcW w:w="403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剑阁县</w:t>
            </w:r>
            <w:r>
              <w:rPr>
                <w:rFonts w:hint="eastAsia" w:ascii="宋体" w:hAnsi="宋体" w:cs="宋体"/>
                <w:i w:val="0"/>
                <w:iCs w:val="0"/>
                <w:color w:val="000000"/>
                <w:kern w:val="0"/>
                <w:sz w:val="16"/>
                <w:szCs w:val="16"/>
                <w:u w:val="none"/>
                <w:lang w:val="en-US" w:eastAsia="zh-CN" w:bidi="ar"/>
              </w:rPr>
              <w:t>涂山</w:t>
            </w:r>
            <w:r>
              <w:rPr>
                <w:rFonts w:hint="eastAsia" w:ascii="宋体" w:hAnsi="宋体" w:eastAsia="宋体" w:cs="宋体"/>
                <w:i w:val="0"/>
                <w:iCs w:val="0"/>
                <w:color w:val="000000"/>
                <w:kern w:val="0"/>
                <w:sz w:val="16"/>
                <w:szCs w:val="16"/>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年度主要</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年初任务目标</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预算执行情况（万元）</w:t>
            </w: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执行率（B/A)</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646.47</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646.47</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38"/>
                <w:sz w:val="16"/>
                <w:szCs w:val="16"/>
                <w:lang w:val="en-US" w:eastAsia="zh-CN" w:bidi="ar"/>
              </w:rPr>
              <w:t xml:space="preserve"> 其中：财政拨款</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646.47</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646.47</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w:t>
            </w:r>
          </w:p>
        </w:tc>
        <w:tc>
          <w:tcPr>
            <w:tcW w:w="1691"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2871" w:type="pct"/>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2871"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预期指标值（包含数字及文字描述）</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实际完成指标值（包含数字及文字描述）</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未完成原因及拟采取的改进措施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在职职工工资保险保障率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村社干部报酬支付率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全镇运转经费保障</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完成时间</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经费成本</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r>
              <w:rPr>
                <w:rFonts w:hint="eastAsia" w:ascii="宋体" w:hAnsi="宋体" w:eastAsia="宋体" w:cs="宋体"/>
                <w:i w:val="0"/>
                <w:iCs w:val="0"/>
                <w:color w:val="000000"/>
                <w:kern w:val="0"/>
                <w:sz w:val="16"/>
                <w:szCs w:val="16"/>
                <w:u w:val="none"/>
                <w:lang w:val="en-US" w:eastAsia="zh-CN" w:bidi="ar"/>
              </w:rPr>
              <w:t>646.47</w:t>
            </w:r>
            <w:r>
              <w:rPr>
                <w:rFonts w:hint="eastAsia" w:ascii="宋体" w:hAnsi="宋体" w:eastAsia="宋体" w:cs="宋体"/>
                <w:i w:val="0"/>
                <w:iCs w:val="0"/>
                <w:color w:val="000000"/>
                <w:kern w:val="0"/>
                <w:sz w:val="13"/>
                <w:szCs w:val="13"/>
                <w:u w:val="none"/>
                <w:lang w:val="en-US" w:eastAsia="zh-CN" w:bidi="ar"/>
              </w:rPr>
              <w:t>万元</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r>
              <w:rPr>
                <w:rFonts w:hint="eastAsia" w:ascii="宋体" w:hAnsi="宋体" w:eastAsia="宋体" w:cs="宋体"/>
                <w:i w:val="0"/>
                <w:iCs w:val="0"/>
                <w:color w:val="000000"/>
                <w:kern w:val="0"/>
                <w:sz w:val="16"/>
                <w:szCs w:val="16"/>
                <w:u w:val="none"/>
                <w:lang w:val="en-US" w:eastAsia="zh-CN" w:bidi="ar"/>
              </w:rPr>
              <w:t>646.47</w:t>
            </w:r>
            <w:r>
              <w:rPr>
                <w:rFonts w:hint="eastAsia" w:ascii="宋体" w:hAnsi="宋体" w:eastAsia="宋体" w:cs="宋体"/>
                <w:i w:val="0"/>
                <w:iCs w:val="0"/>
                <w:color w:val="000000"/>
                <w:kern w:val="0"/>
                <w:sz w:val="13"/>
                <w:szCs w:val="13"/>
                <w:u w:val="none"/>
                <w:lang w:val="en-US" w:eastAsia="zh-CN" w:bidi="ar"/>
              </w:rPr>
              <w:t>万元</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保障政府正常运转和辖区安全稳定</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改善辖区内人居环境</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重点工作实施效果可持续影响</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群众满意度</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bl>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78" w:lineRule="exact"/>
        <w:textAlignment w:val="auto"/>
        <w:rPr>
          <w:rFonts w:hint="eastAsia" w:ascii="方正小标宋简体" w:hAnsi="方正小标宋简体" w:eastAsia="黑体" w:cs="方正小标宋简体"/>
          <w:color w:val="auto"/>
          <w:kern w:val="2"/>
          <w:sz w:val="44"/>
          <w:szCs w:val="44"/>
          <w:highlight w:val="none"/>
          <w:lang w:val="en-US" w:eastAsia="zh-CN"/>
        </w:rPr>
      </w:pPr>
      <w:r>
        <w:rPr>
          <w:rFonts w:hint="eastAsia" w:ascii="黑体" w:hAnsi="黑体" w:eastAsia="黑体"/>
          <w:sz w:val="30"/>
          <w:szCs w:val="30"/>
          <w:highlight w:val="none"/>
        </w:rPr>
        <w:t>附件</w:t>
      </w:r>
      <w:r>
        <w:rPr>
          <w:rFonts w:hint="eastAsia" w:ascii="黑体" w:hAnsi="黑体" w:eastAsia="黑体"/>
          <w:sz w:val="30"/>
          <w:szCs w:val="30"/>
          <w:highlight w:val="none"/>
          <w:lang w:val="en-US" w:eastAsia="zh-CN"/>
        </w:rPr>
        <w:t>3</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eastAsia="zh-CN"/>
        </w:rPr>
      </w:pPr>
      <w:r>
        <w:rPr>
          <w:rFonts w:hint="eastAsia" w:ascii="华文中宋" w:hAnsi="华文中宋" w:eastAsia="华文中宋" w:cs="华文中宋"/>
          <w:b/>
          <w:bCs/>
          <w:sz w:val="36"/>
          <w:szCs w:val="36"/>
          <w:lang w:val="zh-CN" w:eastAsia="zh-CN"/>
        </w:rPr>
        <w:t>剑阁县涂山镇人民政府</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rPr>
      </w:pPr>
      <w:r>
        <w:rPr>
          <w:rFonts w:hint="eastAsia" w:ascii="华文中宋" w:hAnsi="华文中宋" w:eastAsia="华文中宋" w:cs="华文中宋"/>
          <w:b/>
          <w:bCs/>
          <w:sz w:val="36"/>
          <w:szCs w:val="36"/>
          <w:lang w:val="zh-CN" w:eastAsia="zh-CN"/>
        </w:rPr>
        <w:t>关于垃圾场设计变更项目（化解隐性债务）</w:t>
      </w:r>
      <w:r>
        <w:rPr>
          <w:rFonts w:hint="eastAsia" w:ascii="华文中宋" w:hAnsi="华文中宋" w:eastAsia="华文中宋" w:cs="华文中宋"/>
          <w:b/>
          <w:bCs/>
          <w:sz w:val="36"/>
          <w:szCs w:val="36"/>
          <w:lang w:val="zh-CN"/>
        </w:rPr>
        <w:t>项目</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ascii="宋体" w:hAnsi="宋体"/>
          <w:color w:val="auto"/>
          <w:kern w:val="2"/>
          <w:sz w:val="32"/>
          <w:szCs w:val="32"/>
          <w:highlight w:val="none"/>
        </w:rPr>
      </w:pPr>
      <w:r>
        <w:rPr>
          <w:rFonts w:hint="eastAsia" w:ascii="华文中宋" w:hAnsi="华文中宋" w:eastAsia="华文中宋" w:cs="华文中宋"/>
          <w:b/>
          <w:bCs/>
          <w:sz w:val="36"/>
          <w:szCs w:val="36"/>
          <w:lang w:val="zh-CN"/>
        </w:rPr>
        <w:t>支出绩效自评报告</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sz w:val="28"/>
          <w:szCs w:val="28"/>
        </w:rPr>
      </w:pPr>
      <w:r>
        <w:rPr>
          <w:rFonts w:hint="eastAsia" w:ascii="黑体" w:hAnsi="宋体" w:eastAsia="黑体"/>
          <w:sz w:val="28"/>
          <w:szCs w:val="28"/>
          <w:highlight w:val="none"/>
        </w:rPr>
        <w:t>一、</w:t>
      </w:r>
      <w:r>
        <w:rPr>
          <w:rFonts w:hint="eastAsia" w:ascii="黑体" w:hAnsi="宋体" w:eastAsia="黑体"/>
          <w:sz w:val="28"/>
          <w:szCs w:val="28"/>
          <w:highlight w:val="none"/>
          <w:lang w:val="zh-CN"/>
        </w:rPr>
        <w:t>项目概况</w:t>
      </w:r>
      <w:r>
        <w:rPr>
          <w:rFonts w:hint="eastAsia" w:ascii="仿宋_GB2312" w:hAnsi="仿宋_GB2312" w:eastAsia="仿宋_GB2312" w:cs="仿宋_GB2312"/>
          <w:color w:val="auto"/>
          <w:kern w:val="0"/>
          <w:sz w:val="28"/>
          <w:szCs w:val="28"/>
          <w:highlight w:val="none"/>
          <w:u w:val="none"/>
          <w:shd w:val="clear" w:color="auto" w:fill="FFFFFF"/>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sz w:val="28"/>
          <w:szCs w:val="28"/>
        </w:rPr>
      </w:pPr>
      <w:r>
        <w:rPr>
          <w:rFonts w:hint="eastAsia"/>
          <w:sz w:val="28"/>
          <w:szCs w:val="28"/>
          <w:lang w:eastAsia="zh-CN"/>
        </w:rPr>
        <w:t>（一）</w:t>
      </w:r>
      <w:r>
        <w:rPr>
          <w:rFonts w:hint="eastAsia"/>
          <w:b/>
          <w:bCs/>
          <w:sz w:val="28"/>
          <w:szCs w:val="28"/>
        </w:rPr>
        <w:t>项目资金申报及批复情况。</w:t>
      </w:r>
      <w:r>
        <w:rPr>
          <w:rFonts w:hint="eastAsia" w:ascii="仿宋_GB2312" w:hAnsi="仿宋" w:eastAsia="仿宋_GB2312" w:cs="仿宋"/>
          <w:color w:val="000000"/>
          <w:sz w:val="32"/>
          <w:szCs w:val="32"/>
          <w:lang w:val="en-US" w:eastAsia="zh-CN"/>
        </w:rPr>
        <w:t>2022年县财政局下达专项化解隐性债务资金，涉及我镇迎新村环境和公共服务设施工程</w:t>
      </w:r>
      <w:r>
        <w:rPr>
          <w:rFonts w:hint="eastAsia" w:ascii="仿宋_GB2312" w:hAnsi="仿宋" w:eastAsia="仿宋_GB2312" w:cs="仿宋"/>
          <w:color w:val="000000"/>
          <w:sz w:val="32"/>
          <w:szCs w:val="32"/>
          <w:lang w:val="zh-CN" w:eastAsia="zh-CN"/>
        </w:rPr>
        <w:t>（化解隐性债务）项目</w:t>
      </w:r>
      <w:r>
        <w:rPr>
          <w:rFonts w:hint="eastAsia" w:ascii="仿宋_GB2312" w:hAnsi="仿宋" w:eastAsia="仿宋_GB2312" w:cs="仿宋"/>
          <w:color w:val="000000"/>
          <w:sz w:val="32"/>
          <w:szCs w:val="32"/>
          <w:lang w:val="en-US" w:eastAsia="zh-CN"/>
        </w:rPr>
        <w:t>71.82万元，我镇对该项资金的使用符合资金管理办法等相关规定。</w:t>
      </w:r>
    </w:p>
    <w:p>
      <w:pPr>
        <w:ind w:firstLine="560" w:firstLineChars="200"/>
        <w:rPr>
          <w:rFonts w:hint="eastAsia" w:ascii="仿宋_GB2312" w:hAnsi="仿宋" w:eastAsia="仿宋_GB2312" w:cs="仿宋"/>
          <w:color w:val="000000"/>
          <w:sz w:val="32"/>
          <w:szCs w:val="32"/>
          <w:lang w:val="en-US" w:eastAsia="zh-CN"/>
        </w:rPr>
      </w:pPr>
      <w:r>
        <w:rPr>
          <w:rFonts w:hint="eastAsia"/>
          <w:sz w:val="28"/>
          <w:szCs w:val="28"/>
        </w:rPr>
        <w:t>（二）</w:t>
      </w:r>
      <w:r>
        <w:rPr>
          <w:rFonts w:hint="eastAsia"/>
          <w:b/>
          <w:bCs/>
          <w:sz w:val="28"/>
          <w:szCs w:val="28"/>
        </w:rPr>
        <w:t>项目绩效目标。</w:t>
      </w:r>
      <w:r>
        <w:rPr>
          <w:rFonts w:hint="eastAsia" w:ascii="仿宋_GB2312" w:hAnsi="仿宋" w:eastAsia="仿宋_GB2312" w:cs="仿宋"/>
          <w:color w:val="000000"/>
          <w:sz w:val="32"/>
          <w:szCs w:val="32"/>
          <w:lang w:val="en-US" w:eastAsia="zh-CN"/>
        </w:rPr>
        <w:t>完成隐性债务化解71.82万元，提高政府社会诚信度。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仿宋_GB2312" w:hAnsi="仿宋" w:eastAsia="仿宋_GB2312" w:cs="仿宋"/>
          <w:color w:val="000000"/>
          <w:sz w:val="32"/>
          <w:szCs w:val="32"/>
          <w:lang w:val="en-US" w:eastAsia="zh-CN"/>
        </w:rPr>
      </w:pPr>
      <w:r>
        <w:rPr>
          <w:rFonts w:hint="eastAsia"/>
          <w:sz w:val="28"/>
          <w:szCs w:val="28"/>
        </w:rPr>
        <w:t>（三）</w:t>
      </w:r>
      <w:r>
        <w:rPr>
          <w:rFonts w:hint="eastAsia"/>
          <w:b/>
          <w:bCs/>
          <w:sz w:val="28"/>
          <w:szCs w:val="28"/>
        </w:rPr>
        <w:t>项目资金申报相符性。</w:t>
      </w:r>
      <w:r>
        <w:rPr>
          <w:rFonts w:hint="eastAsia" w:ascii="仿宋_GB2312" w:hAnsi="仿宋" w:eastAsia="仿宋_GB2312" w:cs="仿宋"/>
          <w:color w:val="000000"/>
          <w:sz w:val="32"/>
          <w:szCs w:val="32"/>
          <w:lang w:val="zh-CN" w:eastAsia="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二、项目实施及管理情况</w:t>
      </w:r>
    </w:p>
    <w:p>
      <w:pPr>
        <w:ind w:firstLine="562" w:firstLineChars="200"/>
        <w:rPr>
          <w:rFonts w:hint="eastAsia"/>
          <w:b/>
          <w:bCs/>
          <w:sz w:val="28"/>
          <w:szCs w:val="28"/>
        </w:rPr>
      </w:pPr>
      <w:r>
        <w:rPr>
          <w:rFonts w:hint="eastAsia"/>
          <w:b/>
          <w:bCs/>
          <w:sz w:val="28"/>
          <w:szCs w:val="28"/>
        </w:rPr>
        <w:t>（一）资金计划、到位及使用情况。</w:t>
      </w:r>
    </w:p>
    <w:p>
      <w:pPr>
        <w:keepNext w:val="0"/>
        <w:keepLines w:val="0"/>
        <w:pageBreakBefore w:val="0"/>
        <w:widowControl w:val="0"/>
        <w:kinsoku/>
        <w:wordWrap/>
        <w:overflowPunct/>
        <w:topLinePunct w:val="0"/>
        <w:autoSpaceDE/>
        <w:autoSpaceDN/>
        <w:bidi w:val="0"/>
        <w:spacing w:line="576" w:lineRule="exact"/>
        <w:ind w:firstLine="560" w:firstLineChars="200"/>
        <w:textAlignment w:val="auto"/>
        <w:rPr>
          <w:rFonts w:hint="eastAsia"/>
          <w:sz w:val="28"/>
          <w:szCs w:val="28"/>
        </w:rPr>
      </w:pPr>
      <w:r>
        <w:rPr>
          <w:rFonts w:hint="eastAsia"/>
          <w:sz w:val="28"/>
          <w:szCs w:val="28"/>
        </w:rPr>
        <w:t>1．</w:t>
      </w:r>
      <w:r>
        <w:rPr>
          <w:rFonts w:hint="eastAsia" w:ascii="仿宋_GB2312" w:hAnsi="仿宋" w:eastAsia="仿宋_GB2312" w:cs="仿宋"/>
          <w:color w:val="000000"/>
          <w:sz w:val="32"/>
          <w:szCs w:val="32"/>
          <w:lang w:val="zh-CN" w:eastAsia="zh-CN"/>
        </w:rPr>
        <w:t>资金计划及到位</w:t>
      </w:r>
      <w:r>
        <w:rPr>
          <w:rFonts w:hint="eastAsia" w:ascii="仿宋_GB2312" w:hAnsi="仿宋" w:eastAsia="仿宋_GB2312" w:cs="仿宋"/>
          <w:color w:val="000000"/>
          <w:sz w:val="32"/>
          <w:szCs w:val="32"/>
          <w:lang w:val="en-US" w:eastAsia="zh-CN"/>
        </w:rPr>
        <w:t>。该项目计划资金71.82万元，资金到位率100%，到位及时</w:t>
      </w:r>
      <w:r>
        <w:rPr>
          <w:rFonts w:hint="eastAsia" w:ascii="仿宋_GB2312" w:hAnsi="仿宋" w:eastAsia="仿宋_GB2312" w:cs="仿宋"/>
          <w:color w:val="000000"/>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sz w:val="28"/>
          <w:szCs w:val="28"/>
        </w:rPr>
      </w:pPr>
      <w:r>
        <w:rPr>
          <w:rFonts w:hint="eastAsia"/>
          <w:sz w:val="28"/>
          <w:szCs w:val="28"/>
        </w:rPr>
        <w:t>2．</w:t>
      </w:r>
      <w:r>
        <w:rPr>
          <w:rFonts w:hint="eastAsia" w:ascii="仿宋_GB2312" w:hAnsi="仿宋" w:eastAsia="仿宋_GB2312" w:cs="仿宋"/>
          <w:color w:val="000000"/>
          <w:sz w:val="32"/>
          <w:szCs w:val="32"/>
          <w:lang w:val="zh-CN" w:eastAsia="zh-CN"/>
        </w:rPr>
        <w:t>资金使用。截至评价时点迎新村环境和公共服务设施工程项目（化解隐性债务）项目资金的实际支出</w:t>
      </w:r>
      <w:r>
        <w:rPr>
          <w:rFonts w:hint="eastAsia" w:ascii="仿宋_GB2312" w:hAnsi="仿宋" w:eastAsia="仿宋_GB2312" w:cs="仿宋"/>
          <w:color w:val="000000"/>
          <w:sz w:val="32"/>
          <w:szCs w:val="32"/>
          <w:lang w:val="en-US" w:eastAsia="zh-CN"/>
        </w:rPr>
        <w:t>71.82万元</w:t>
      </w:r>
      <w:r>
        <w:rPr>
          <w:rFonts w:hint="eastAsia" w:ascii="仿宋_GB2312" w:hAnsi="仿宋" w:eastAsia="仿宋_GB2312" w:cs="仿宋"/>
          <w:color w:val="000000"/>
          <w:sz w:val="32"/>
          <w:szCs w:val="32"/>
          <w:lang w:val="zh-CN" w:eastAsia="zh-CN"/>
        </w:rPr>
        <w:t>，</w:t>
      </w:r>
      <w:r>
        <w:rPr>
          <w:rFonts w:hint="eastAsia" w:ascii="仿宋_GB2312" w:hAnsi="仿宋" w:eastAsia="仿宋_GB2312" w:cs="仿宋"/>
          <w:color w:val="000000"/>
          <w:sz w:val="32"/>
          <w:szCs w:val="32"/>
          <w:lang w:val="en-US" w:eastAsia="zh-CN"/>
        </w:rPr>
        <w:t>我镇已根据实际情况支付完毕， 支付依据合规合法，资金支付与预算相符。</w:t>
      </w:r>
    </w:p>
    <w:p>
      <w:pPr>
        <w:ind w:firstLine="562" w:firstLineChars="200"/>
        <w:rPr>
          <w:rFonts w:hint="eastAsia"/>
          <w:b/>
          <w:bCs/>
          <w:sz w:val="28"/>
          <w:szCs w:val="28"/>
        </w:rPr>
      </w:pPr>
      <w:r>
        <w:rPr>
          <w:rFonts w:hint="eastAsia"/>
          <w:b/>
          <w:bCs/>
          <w:sz w:val="28"/>
          <w:szCs w:val="28"/>
        </w:rPr>
        <w:t>（二）项目财务管理情况。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根据项目实施管理办法，该项目在实施中严格做到专款专用专人管理、由镇财政所统一管理严格资金支付凭证审核。支付手续、附件齐全，账务处理及时，会计核算规范。</w:t>
      </w:r>
    </w:p>
    <w:p>
      <w:pPr>
        <w:ind w:firstLine="562" w:firstLineChars="200"/>
        <w:rPr>
          <w:rFonts w:hint="eastAsia"/>
          <w:b/>
          <w:bCs/>
          <w:sz w:val="28"/>
          <w:szCs w:val="28"/>
        </w:rPr>
      </w:pPr>
      <w:r>
        <w:rPr>
          <w:rFonts w:hint="eastAsia"/>
          <w:b/>
          <w:bCs/>
          <w:sz w:val="28"/>
          <w:szCs w:val="28"/>
        </w:rPr>
        <w:t>（三）项目组织实施情况。</w:t>
      </w:r>
    </w:p>
    <w:p>
      <w:pPr>
        <w:pStyle w:val="17"/>
        <w:rPr>
          <w:rFonts w:hint="eastAsia" w:ascii="仿宋_GB2312" w:hAnsi="仿宋" w:eastAsia="仿宋_GB2312" w:cs="仿宋"/>
          <w:color w:val="000000"/>
          <w:kern w:val="2"/>
          <w:sz w:val="32"/>
          <w:szCs w:val="32"/>
          <w:lang w:val="zh-CN" w:eastAsia="zh-CN" w:bidi="ar-SA"/>
        </w:rPr>
      </w:pPr>
      <w:r>
        <w:rPr>
          <w:rFonts w:hint="eastAsia" w:ascii="仿宋_GB2312" w:hAnsi="仿宋" w:eastAsia="仿宋_GB2312" w:cs="仿宋"/>
          <w:color w:val="000000"/>
          <w:kern w:val="2"/>
          <w:sz w:val="32"/>
          <w:szCs w:val="32"/>
          <w:lang w:val="en-US" w:eastAsia="zh-CN" w:bidi="ar-SA"/>
        </w:rPr>
        <w:t>为实施好化解隐性债务资金项目，制定具体的实施方案，组织机构健全，职责分工明确，提高预算编制科学性、合理性，优化财政支出结构，从源头上防控财政资源配置的低效无效，提高财政资源配置效率和财政资金使用效益，确保资金规范使用，项目有序推进，确保项目顺利实施。</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三、项目绩效情况</w:t>
      </w:r>
    </w:p>
    <w:p>
      <w:pPr>
        <w:ind w:firstLine="562" w:firstLineChars="200"/>
        <w:rPr>
          <w:rFonts w:hint="eastAsia" w:ascii="仿宋_GB2312" w:hAnsi="仿宋" w:eastAsia="仿宋_GB2312" w:cs="仿宋"/>
          <w:color w:val="000000"/>
          <w:sz w:val="32"/>
          <w:szCs w:val="32"/>
          <w:lang w:val="zh-CN" w:eastAsia="zh-CN"/>
        </w:rPr>
      </w:pPr>
      <w:r>
        <w:rPr>
          <w:rFonts w:hint="eastAsia"/>
          <w:b/>
          <w:bCs/>
          <w:sz w:val="28"/>
          <w:szCs w:val="28"/>
        </w:rPr>
        <w:t>（一）项目完成情况。</w:t>
      </w:r>
      <w:r>
        <w:rPr>
          <w:rFonts w:hint="eastAsia" w:ascii="仿宋_GB2312" w:hAnsi="仿宋" w:eastAsia="仿宋_GB2312" w:cs="仿宋"/>
          <w:color w:val="000000"/>
          <w:sz w:val="32"/>
          <w:szCs w:val="32"/>
          <w:lang w:val="zh-CN" w:eastAsia="zh-CN"/>
        </w:rPr>
        <w:t>偿还债权人迎新村环境和公共服务设施工程项目债务</w:t>
      </w:r>
      <w:r>
        <w:rPr>
          <w:rFonts w:hint="eastAsia" w:ascii="仿宋_GB2312" w:hAnsi="仿宋" w:eastAsia="仿宋_GB2312" w:cs="仿宋"/>
          <w:color w:val="000000"/>
          <w:sz w:val="32"/>
          <w:szCs w:val="32"/>
          <w:lang w:val="en-US" w:eastAsia="zh-CN"/>
        </w:rPr>
        <w:t>71.82万元</w:t>
      </w:r>
      <w:r>
        <w:rPr>
          <w:rFonts w:hint="eastAsia" w:ascii="仿宋_GB2312" w:hAnsi="仿宋" w:eastAsia="仿宋_GB2312" w:cs="仿宋"/>
          <w:color w:val="000000"/>
          <w:sz w:val="32"/>
          <w:szCs w:val="32"/>
          <w:lang w:val="zh-CN" w:eastAsia="zh-CN"/>
        </w:rPr>
        <w:t>。</w:t>
      </w:r>
    </w:p>
    <w:p>
      <w:pPr>
        <w:ind w:firstLine="562" w:firstLineChars="200"/>
        <w:rPr>
          <w:rFonts w:hint="eastAsia" w:ascii="仿宋_GB2312" w:hAnsi="仿宋" w:eastAsia="仿宋_GB2312" w:cs="仿宋"/>
          <w:color w:val="000000"/>
          <w:sz w:val="32"/>
          <w:szCs w:val="32"/>
          <w:lang w:val="zh-CN" w:eastAsia="zh-CN"/>
        </w:rPr>
      </w:pPr>
      <w:r>
        <w:rPr>
          <w:rFonts w:hint="eastAsia"/>
          <w:b/>
          <w:bCs/>
          <w:sz w:val="28"/>
          <w:szCs w:val="28"/>
        </w:rPr>
        <w:t>（二）项目效益情况。</w:t>
      </w:r>
      <w:r>
        <w:rPr>
          <w:rFonts w:hint="eastAsia" w:ascii="仿宋_GB2312" w:hAnsi="仿宋" w:eastAsia="仿宋_GB2312" w:cs="仿宋"/>
          <w:color w:val="000000"/>
          <w:sz w:val="32"/>
          <w:szCs w:val="32"/>
          <w:lang w:val="zh-CN" w:eastAsia="zh-CN"/>
        </w:rPr>
        <w:t>通过该项目的实施，提高了政府社会诚信度，农民工对工程结算满意度。</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四、问题及建议</w:t>
      </w:r>
    </w:p>
    <w:p>
      <w:pPr>
        <w:ind w:firstLine="562" w:firstLineChars="200"/>
        <w:rPr>
          <w:rFonts w:hint="eastAsia"/>
          <w:sz w:val="28"/>
          <w:szCs w:val="28"/>
          <w:lang w:eastAsia="zh-CN"/>
        </w:rPr>
      </w:pPr>
      <w:r>
        <w:rPr>
          <w:rFonts w:hint="eastAsia"/>
          <w:b/>
          <w:bCs/>
          <w:sz w:val="28"/>
          <w:szCs w:val="28"/>
        </w:rPr>
        <w:t>（一）存在的问题。</w:t>
      </w:r>
      <w:r>
        <w:rPr>
          <w:rFonts w:hint="eastAsia" w:ascii="仿宋_GB2312" w:hAnsi="仿宋" w:eastAsia="仿宋_GB2312" w:cs="仿宋"/>
          <w:color w:val="000000"/>
          <w:sz w:val="32"/>
          <w:szCs w:val="32"/>
          <w:lang w:val="zh-CN" w:eastAsia="zh-CN"/>
        </w:rPr>
        <w:t>隐性债务系历年历史遗留问题，除上级财政支持外，我单位无力偿还其他相关债务</w:t>
      </w:r>
      <w:r>
        <w:rPr>
          <w:rFonts w:hint="eastAsia"/>
          <w:sz w:val="28"/>
          <w:szCs w:val="28"/>
          <w:lang w:eastAsia="zh-CN"/>
        </w:rPr>
        <w:t>。</w:t>
      </w:r>
    </w:p>
    <w:p>
      <w:pPr>
        <w:ind w:firstLine="562" w:firstLineChars="200"/>
        <w:rPr>
          <w:rFonts w:hint="eastAsia" w:ascii="仿宋" w:hAnsi="仿宋" w:eastAsia="仿宋" w:cs="仿宋"/>
          <w:color w:val="000000"/>
          <w:kern w:val="0"/>
          <w:sz w:val="32"/>
          <w:szCs w:val="32"/>
          <w:shd w:val="clear" w:color="auto" w:fill="FFFFFF"/>
          <w:lang w:val="zh-CN" w:eastAsia="zh-CN" w:bidi="ar-SA"/>
        </w:rPr>
      </w:pPr>
      <w:r>
        <w:rPr>
          <w:rFonts w:hint="eastAsia"/>
          <w:b/>
          <w:bCs/>
          <w:sz w:val="28"/>
          <w:szCs w:val="28"/>
        </w:rPr>
        <w:t>（二）相关建议。</w:t>
      </w:r>
      <w:r>
        <w:rPr>
          <w:rFonts w:hint="eastAsia" w:ascii="仿宋_GB2312" w:hAnsi="仿宋" w:eastAsia="仿宋_GB2312" w:cs="仿宋"/>
          <w:color w:val="000000"/>
          <w:sz w:val="32"/>
          <w:szCs w:val="32"/>
          <w:lang w:val="zh-CN" w:eastAsia="zh-CN"/>
        </w:rPr>
        <w:t>希望县财政安排资金，早日偿还清债务，维护社会稳定。</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i w:val="0"/>
          <w:caps w:val="0"/>
          <w:color w:val="666666"/>
          <w:spacing w:val="0"/>
          <w:sz w:val="32"/>
          <w:szCs w:val="32"/>
          <w:shd w:val="clear" w:fill="FFFFFF"/>
          <w:lang w:val="en-US" w:eastAsia="zh-CN"/>
        </w:rPr>
      </w:pPr>
    </w:p>
    <w:tbl>
      <w:tblPr>
        <w:tblStyle w:val="18"/>
        <w:tblpPr w:leftFromText="180" w:rightFromText="180" w:vertAnchor="text" w:horzAnchor="page" w:tblpX="1644" w:tblpY="144"/>
        <w:tblOverlap w:val="never"/>
        <w:tblW w:w="10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645"/>
        <w:gridCol w:w="15"/>
        <w:gridCol w:w="862"/>
        <w:gridCol w:w="1987"/>
        <w:gridCol w:w="280"/>
        <w:gridCol w:w="534"/>
        <w:gridCol w:w="477"/>
        <w:gridCol w:w="281"/>
        <w:gridCol w:w="900"/>
        <w:gridCol w:w="533"/>
        <w:gridCol w:w="533"/>
        <w:gridCol w:w="1080"/>
        <w:gridCol w:w="62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35" w:type="dxa"/>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lang w:eastAsia="zh-CN"/>
              </w:rPr>
            </w:pPr>
            <w:r>
              <w:rPr>
                <w:rFonts w:hint="eastAsia" w:ascii="黑体" w:hAnsi="宋体" w:eastAsia="黑体" w:cs="黑体"/>
                <w:i w:val="0"/>
                <w:iCs w:val="0"/>
                <w:color w:val="000000"/>
                <w:sz w:val="24"/>
                <w:szCs w:val="24"/>
                <w:u w:val="none"/>
                <w:lang w:eastAsia="zh-CN"/>
              </w:rPr>
              <w:t>附件四</w:t>
            </w:r>
          </w:p>
        </w:tc>
        <w:tc>
          <w:tcPr>
            <w:tcW w:w="2849"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8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77"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181"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28"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28"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43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c>
          <w:tcPr>
            <w:tcW w:w="6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zh-CN" w:eastAsia="zh-CN" w:bidi="ar"/>
              </w:rPr>
              <w:t>迎新村环境和公共服务设施工程项</w:t>
            </w:r>
            <w:r>
              <w:rPr>
                <w:rFonts w:hint="eastAsia" w:ascii="宋体" w:hAnsi="宋体" w:cs="宋体"/>
                <w:i w:val="0"/>
                <w:iCs w:val="0"/>
                <w:color w:val="000000"/>
                <w:kern w:val="0"/>
                <w:sz w:val="20"/>
                <w:szCs w:val="20"/>
                <w:u w:val="none"/>
                <w:lang w:val="zh-CN" w:eastAsia="zh-CN" w:bidi="ar"/>
              </w:rPr>
              <w:t>目</w:t>
            </w:r>
            <w:r>
              <w:rPr>
                <w:rFonts w:hint="eastAsia" w:ascii="宋体" w:hAnsi="宋体" w:eastAsia="宋体" w:cs="宋体"/>
                <w:i w:val="0"/>
                <w:iCs w:val="0"/>
                <w:color w:val="000000"/>
                <w:kern w:val="0"/>
                <w:sz w:val="20"/>
                <w:szCs w:val="20"/>
                <w:u w:val="none"/>
                <w:lang w:val="en-US" w:eastAsia="zh-CN" w:bidi="ar"/>
              </w:rPr>
              <w:t>（化解隐性债务）</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7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蔡学松</w:t>
            </w: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8780941448</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涂山</w:t>
            </w:r>
            <w:r>
              <w:rPr>
                <w:rFonts w:hint="eastAsia" w:ascii="宋体" w:hAnsi="宋体" w:eastAsia="宋体" w:cs="宋体"/>
                <w:i w:val="0"/>
                <w:iCs w:val="0"/>
                <w:color w:val="000000"/>
                <w:kern w:val="0"/>
                <w:sz w:val="20"/>
                <w:szCs w:val="20"/>
                <w:u w:val="none"/>
                <w:lang w:val="en-US" w:eastAsia="zh-CN" w:bidi="ar"/>
              </w:rPr>
              <w:t>镇人民政府</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涂山</w:t>
            </w:r>
            <w:r>
              <w:rPr>
                <w:rFonts w:hint="eastAsia" w:ascii="宋体" w:hAnsi="宋体" w:eastAsia="宋体" w:cs="宋体"/>
                <w:i w:val="0"/>
                <w:iCs w:val="0"/>
                <w:color w:val="000000"/>
                <w:kern w:val="0"/>
                <w:sz w:val="20"/>
                <w:szCs w:val="20"/>
                <w:u w:val="none"/>
                <w:lang w:val="en-US" w:eastAsia="zh-CN" w:bidi="ar"/>
              </w:rPr>
              <w:t>镇人民政府</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71.82</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71.82</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 xml:space="preserve"> 其中：中央、省、市财政资金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 xml:space="preserve">       县级财政资金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71.82</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71.82</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 xml:space="preserve">       其他资金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完成隐性债务的化解</w:t>
            </w:r>
          </w:p>
        </w:tc>
        <w:tc>
          <w:tcPr>
            <w:tcW w:w="4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完成隐性债务的化解</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zh-CN" w:eastAsia="zh-CN" w:bidi="ar"/>
              </w:rPr>
              <w:t>迎新村环境和公共服务设施工程项</w:t>
            </w:r>
            <w:r>
              <w:rPr>
                <w:rFonts w:hint="eastAsia" w:ascii="宋体" w:hAnsi="宋体" w:cs="宋体"/>
                <w:i w:val="0"/>
                <w:iCs w:val="0"/>
                <w:color w:val="000000"/>
                <w:kern w:val="0"/>
                <w:sz w:val="20"/>
                <w:szCs w:val="20"/>
                <w:u w:val="none"/>
                <w:lang w:val="zh-CN" w:eastAsia="zh-CN" w:bidi="ar"/>
              </w:rPr>
              <w:t>目</w:t>
            </w:r>
            <w:r>
              <w:rPr>
                <w:rFonts w:hint="eastAsia" w:ascii="宋体" w:hAnsi="宋体" w:eastAsia="宋体" w:cs="宋体"/>
                <w:i w:val="0"/>
                <w:iCs w:val="0"/>
                <w:color w:val="000000"/>
                <w:kern w:val="0"/>
                <w:sz w:val="20"/>
                <w:szCs w:val="20"/>
                <w:u w:val="none"/>
                <w:lang w:val="en-US" w:eastAsia="zh-CN" w:bidi="ar"/>
              </w:rPr>
              <w:t>产生的债务</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71.82</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2022年底完成隐性债务化解</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政府社会诚信度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农民工对工程结算满意度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430"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62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center"/>
        <w:rPr>
          <w:rFonts w:hint="default" w:ascii="仿宋" w:hAnsi="仿宋" w:eastAsia="仿宋" w:cs="仿宋"/>
          <w:b w:val="0"/>
          <w:bCs w:val="0"/>
          <w:i w:val="0"/>
          <w:iCs w:val="0"/>
          <w:caps w:val="0"/>
          <w:color w:val="000000"/>
          <w:spacing w:val="0"/>
          <w:sz w:val="32"/>
          <w:szCs w:val="32"/>
          <w:shd w:val="clear" w:fill="FFFFFF"/>
          <w:lang w:val="en-US" w:eastAsia="zh-CN"/>
        </w:rPr>
        <w:sectPr>
          <w:footerReference r:id="rId4" w:type="first"/>
          <w:footerReference r:id="rId3" w:type="default"/>
          <w:pgSz w:w="11907" w:h="16840"/>
          <w:pgMar w:top="1587" w:right="1587" w:bottom="1587" w:left="1587" w:header="907" w:footer="1020" w:gutter="0"/>
          <w:pgNumType w:fmt="decimal"/>
          <w:cols w:space="720" w:num="1"/>
          <w:docGrid w:linePitch="312" w:charSpace="0"/>
        </w:sectPr>
      </w:pPr>
    </w:p>
    <w:p>
      <w:pPr>
        <w:spacing w:line="600" w:lineRule="exact"/>
        <w:jc w:val="center"/>
        <w:outlineLvl w:val="0"/>
        <w:rPr>
          <w:rFonts w:ascii="仿宋" w:hAnsi="仿宋" w:eastAsia="仿宋"/>
        </w:rPr>
      </w:pPr>
      <w:bookmarkStart w:id="60" w:name="_Toc15396618"/>
      <w:r>
        <w:rPr>
          <w:rFonts w:hint="eastAsia" w:ascii="黑体" w:hAnsi="黑体" w:eastAsia="黑体"/>
          <w:sz w:val="44"/>
          <w:szCs w:val="44"/>
        </w:rPr>
        <w:t>第</w:t>
      </w:r>
      <w:r>
        <w:rPr>
          <w:rStyle w:val="31"/>
          <w:rFonts w:hint="eastAsia" w:ascii="黑体" w:hAnsi="黑体" w:eastAsia="黑体"/>
          <w:b w:val="0"/>
        </w:rPr>
        <w:t>五部分 附表</w:t>
      </w:r>
      <w:bookmarkEnd w:id="58"/>
      <w:bookmarkEnd w:id="60"/>
      <w:bookmarkStart w:id="61" w:name="_Toc15396619"/>
    </w:p>
    <w:p>
      <w:pPr>
        <w:pStyle w:val="4"/>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61"/>
    </w:p>
    <w:p>
      <w:pPr>
        <w:pStyle w:val="4"/>
        <w:rPr>
          <w:rFonts w:ascii="仿宋" w:hAnsi="仿宋" w:eastAsia="仿宋"/>
        </w:rPr>
      </w:pPr>
      <w:bookmarkStart w:id="62" w:name="_Toc15396620"/>
      <w:r>
        <w:rPr>
          <w:rFonts w:hint="eastAsia" w:ascii="仿宋" w:hAnsi="仿宋" w:eastAsia="仿宋"/>
          <w:b w:val="0"/>
        </w:rPr>
        <w:t>二、收</w:t>
      </w:r>
      <w:r>
        <w:rPr>
          <w:rStyle w:val="32"/>
          <w:rFonts w:hint="eastAsia" w:ascii="仿宋" w:hAnsi="仿宋" w:eastAsia="仿宋"/>
          <w:b w:val="0"/>
          <w:bCs w:val="0"/>
        </w:rPr>
        <w:t>入决算表</w:t>
      </w:r>
      <w:bookmarkEnd w:id="62"/>
    </w:p>
    <w:p>
      <w:pPr>
        <w:pStyle w:val="4"/>
        <w:rPr>
          <w:rFonts w:ascii="仿宋" w:hAnsi="仿宋" w:eastAsia="仿宋"/>
        </w:rPr>
      </w:pPr>
      <w:bookmarkStart w:id="63"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63"/>
    </w:p>
    <w:p>
      <w:pPr>
        <w:pStyle w:val="4"/>
        <w:rPr>
          <w:rFonts w:ascii="仿宋" w:hAnsi="仿宋" w:eastAsia="仿宋"/>
          <w:b w:val="0"/>
        </w:rPr>
      </w:pPr>
      <w:bookmarkStart w:id="64"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64"/>
    </w:p>
    <w:p>
      <w:pPr>
        <w:pStyle w:val="4"/>
        <w:rPr>
          <w:rStyle w:val="32"/>
          <w:rFonts w:ascii="仿宋" w:hAnsi="仿宋" w:eastAsia="仿宋"/>
          <w:b w:val="0"/>
          <w:bCs w:val="0"/>
        </w:rPr>
      </w:pPr>
      <w:bookmarkStart w:id="65"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65"/>
      <w:bookmarkStart w:id="66" w:name="_Toc15396624"/>
    </w:p>
    <w:p>
      <w:pPr>
        <w:pStyle w:val="4"/>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66"/>
    </w:p>
    <w:p>
      <w:pPr>
        <w:pStyle w:val="4"/>
        <w:rPr>
          <w:rFonts w:ascii="仿宋" w:hAnsi="仿宋" w:eastAsia="仿宋"/>
        </w:rPr>
      </w:pPr>
      <w:bookmarkStart w:id="67"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7"/>
    </w:p>
    <w:p>
      <w:pPr>
        <w:pStyle w:val="4"/>
        <w:rPr>
          <w:rFonts w:ascii="仿宋" w:hAnsi="仿宋" w:eastAsia="仿宋"/>
        </w:rPr>
      </w:pPr>
      <w:bookmarkStart w:id="68"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8"/>
    </w:p>
    <w:p>
      <w:pPr>
        <w:pStyle w:val="4"/>
        <w:rPr>
          <w:rFonts w:ascii="仿宋" w:hAnsi="仿宋" w:eastAsia="仿宋"/>
        </w:rPr>
      </w:pPr>
      <w:bookmarkStart w:id="69"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9"/>
    </w:p>
    <w:p>
      <w:pPr>
        <w:pStyle w:val="4"/>
        <w:rPr>
          <w:rFonts w:ascii="仿宋" w:hAnsi="仿宋" w:eastAsia="仿宋"/>
        </w:rPr>
      </w:pPr>
      <w:bookmarkStart w:id="70" w:name="_Toc15396628"/>
      <w:r>
        <w:rPr>
          <w:rStyle w:val="32"/>
          <w:rFonts w:hint="eastAsia" w:ascii="仿宋" w:hAnsi="仿宋" w:eastAsia="仿宋"/>
          <w:b w:val="0"/>
          <w:bCs w:val="0"/>
        </w:rPr>
        <w:t>十、</w:t>
      </w:r>
      <w:bookmarkEnd w:id="70"/>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4"/>
        <w:rPr>
          <w:rFonts w:ascii="仿宋" w:hAnsi="仿宋" w:eastAsia="仿宋"/>
        </w:rPr>
      </w:pPr>
      <w:bookmarkStart w:id="71" w:name="_Toc15396629"/>
      <w:r>
        <w:rPr>
          <w:rStyle w:val="32"/>
          <w:rFonts w:hint="eastAsia" w:ascii="仿宋" w:hAnsi="仿宋" w:eastAsia="仿宋"/>
          <w:b w:val="0"/>
          <w:bCs w:val="0"/>
        </w:rPr>
        <w:t>十一、</w:t>
      </w:r>
      <w:bookmarkEnd w:id="71"/>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4"/>
        <w:rPr>
          <w:rFonts w:ascii="仿宋" w:hAnsi="仿宋" w:eastAsia="仿宋"/>
        </w:rPr>
      </w:pPr>
      <w:bookmarkStart w:id="72" w:name="_Toc15396630"/>
      <w:r>
        <w:rPr>
          <w:rStyle w:val="32"/>
          <w:rFonts w:hint="eastAsia" w:ascii="仿宋" w:hAnsi="仿宋" w:eastAsia="仿宋"/>
          <w:b w:val="0"/>
          <w:bCs w:val="0"/>
        </w:rPr>
        <w:t>十二、</w:t>
      </w:r>
      <w:bookmarkEnd w:id="72"/>
      <w:r>
        <w:rPr>
          <w:rStyle w:val="32"/>
          <w:rFonts w:hint="eastAsia" w:ascii="仿宋" w:hAnsi="仿宋" w:eastAsia="仿宋"/>
          <w:b w:val="0"/>
          <w:bCs w:val="0"/>
        </w:rPr>
        <w:t>国有资本经营预算财政拨款支出决算表</w:t>
      </w:r>
    </w:p>
    <w:p>
      <w:pPr>
        <w:pStyle w:val="4"/>
        <w:rPr>
          <w:rFonts w:eastAsia="仿宋"/>
        </w:rPr>
      </w:pPr>
      <w:bookmarkStart w:id="73" w:name="_Toc15396631"/>
      <w:r>
        <w:rPr>
          <w:rStyle w:val="32"/>
          <w:rFonts w:hint="eastAsia" w:ascii="仿宋" w:hAnsi="仿宋" w:eastAsia="仿宋"/>
          <w:b w:val="0"/>
          <w:bCs w:val="0"/>
        </w:rPr>
        <w:t>十三、</w:t>
      </w:r>
      <w:bookmarkEnd w:id="73"/>
      <w:r>
        <w:rPr>
          <w:rStyle w:val="32"/>
          <w:rFonts w:hint="eastAsia" w:ascii="仿宋" w:hAnsi="仿宋" w:eastAsia="仿宋"/>
          <w:b w:val="0"/>
          <w:bCs w:val="0"/>
        </w:rPr>
        <w:t>财政拨款“三公”经费支出决算表</w:t>
      </w: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Comic Sans MS">
    <w:panose1 w:val="030F07020303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default" w:eastAsia="宋体"/>
        <w:lang w:val="en-US" w:eastAsia="zh-CN"/>
      </w:rPr>
    </w:pPr>
    <w:r>
      <w:rPr>
        <w:rFonts w:hint="eastAsia"/>
        <w:lang w:val="en-US" w:eastAsia="zh-CN"/>
      </w:rPr>
      <w:t>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AA2C112"/>
    <w:multiLevelType w:val="singleLevel"/>
    <w:tmpl w:val="7AA2C112"/>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ZWJlNTA1ZmExMTMwODNhZmU0MjE1YzY2OGY1Zj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50462CD"/>
    <w:rsid w:val="050F6516"/>
    <w:rsid w:val="066E0107"/>
    <w:rsid w:val="07996F6E"/>
    <w:rsid w:val="087A5757"/>
    <w:rsid w:val="0A2032A3"/>
    <w:rsid w:val="0F98263C"/>
    <w:rsid w:val="101860EC"/>
    <w:rsid w:val="10C055FF"/>
    <w:rsid w:val="118107EC"/>
    <w:rsid w:val="13D50BC4"/>
    <w:rsid w:val="14423DE3"/>
    <w:rsid w:val="16BB723D"/>
    <w:rsid w:val="172A4DE7"/>
    <w:rsid w:val="19C81C35"/>
    <w:rsid w:val="19E73463"/>
    <w:rsid w:val="1A3348FA"/>
    <w:rsid w:val="1BE8440E"/>
    <w:rsid w:val="1D155CEE"/>
    <w:rsid w:val="1D3C7281"/>
    <w:rsid w:val="1DDD4049"/>
    <w:rsid w:val="1FF35744"/>
    <w:rsid w:val="23860B96"/>
    <w:rsid w:val="240371BF"/>
    <w:rsid w:val="25B2697E"/>
    <w:rsid w:val="26EE4083"/>
    <w:rsid w:val="277A3B68"/>
    <w:rsid w:val="29FD04D3"/>
    <w:rsid w:val="2A44045E"/>
    <w:rsid w:val="2B9C3DCE"/>
    <w:rsid w:val="2C8A61B5"/>
    <w:rsid w:val="2D9047DE"/>
    <w:rsid w:val="2DF04E50"/>
    <w:rsid w:val="2EFA558F"/>
    <w:rsid w:val="2F040D46"/>
    <w:rsid w:val="30C47C02"/>
    <w:rsid w:val="319F7F4E"/>
    <w:rsid w:val="3304709D"/>
    <w:rsid w:val="36415851"/>
    <w:rsid w:val="36AA5135"/>
    <w:rsid w:val="376D39B2"/>
    <w:rsid w:val="37E16F03"/>
    <w:rsid w:val="38BB7B3D"/>
    <w:rsid w:val="38D469F0"/>
    <w:rsid w:val="3902751A"/>
    <w:rsid w:val="3A0A0D7C"/>
    <w:rsid w:val="3AE8273F"/>
    <w:rsid w:val="3B190B4B"/>
    <w:rsid w:val="3C561A2F"/>
    <w:rsid w:val="3C8641D0"/>
    <w:rsid w:val="3D98207C"/>
    <w:rsid w:val="3E78745D"/>
    <w:rsid w:val="444430DC"/>
    <w:rsid w:val="44E268DA"/>
    <w:rsid w:val="48571D06"/>
    <w:rsid w:val="4A627F82"/>
    <w:rsid w:val="4B0E749A"/>
    <w:rsid w:val="4B4F25DA"/>
    <w:rsid w:val="4BE068DB"/>
    <w:rsid w:val="4C8B2AFF"/>
    <w:rsid w:val="4D577224"/>
    <w:rsid w:val="4DC3171D"/>
    <w:rsid w:val="4DE1199C"/>
    <w:rsid w:val="4EAB630A"/>
    <w:rsid w:val="4ECE2238"/>
    <w:rsid w:val="537E6D0A"/>
    <w:rsid w:val="57AA72A2"/>
    <w:rsid w:val="582F2864"/>
    <w:rsid w:val="5AF92295"/>
    <w:rsid w:val="5CD71FC4"/>
    <w:rsid w:val="6B39476E"/>
    <w:rsid w:val="6B4B3950"/>
    <w:rsid w:val="6C4A05C8"/>
    <w:rsid w:val="6CA1081C"/>
    <w:rsid w:val="6D967C55"/>
    <w:rsid w:val="6E3A2CD6"/>
    <w:rsid w:val="6E7E3605"/>
    <w:rsid w:val="6FF5CC65"/>
    <w:rsid w:val="715C0E4B"/>
    <w:rsid w:val="71F4319C"/>
    <w:rsid w:val="72734D90"/>
    <w:rsid w:val="73AD73D5"/>
    <w:rsid w:val="73B6EB34"/>
    <w:rsid w:val="744731E5"/>
    <w:rsid w:val="74EB4D2A"/>
    <w:rsid w:val="760B6D06"/>
    <w:rsid w:val="76E3355F"/>
    <w:rsid w:val="76E732D0"/>
    <w:rsid w:val="76EC401C"/>
    <w:rsid w:val="778769C8"/>
    <w:rsid w:val="78393FFF"/>
    <w:rsid w:val="79EE5BA4"/>
    <w:rsid w:val="7A227C1D"/>
    <w:rsid w:val="7A664E53"/>
    <w:rsid w:val="7A894339"/>
    <w:rsid w:val="7B6B320F"/>
    <w:rsid w:val="7EEF11D3"/>
    <w:rsid w:val="7F1E7AAB"/>
    <w:rsid w:val="7FA30C79"/>
    <w:rsid w:val="7FB7269E"/>
    <w:rsid w:val="7FC96657"/>
    <w:rsid w:val="D8D6DB89"/>
    <w:rsid w:val="DB6F4CAB"/>
    <w:rsid w:val="DF6F9789"/>
    <w:rsid w:val="FECB6B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Normal Indent"/>
    <w:basedOn w:val="1"/>
    <w:qFormat/>
    <w:uiPriority w:val="0"/>
    <w:pPr>
      <w:spacing w:line="560" w:lineRule="exact"/>
      <w:ind w:firstLine="420" w:firstLineChars="200"/>
    </w:pPr>
    <w:rPr>
      <w:rFonts w:ascii="Times New Roman" w:hAnsi="Times New Roman" w:eastAsia="仿宋" w:cs="Times New Roman"/>
      <w:sz w:val="32"/>
      <w:szCs w:val="24"/>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unhideWhenUsed/>
    <w:qFormat/>
    <w:uiPriority w:val="99"/>
    <w:pPr>
      <w:spacing w:line="620" w:lineRule="exact"/>
    </w:pPr>
    <w:rPr>
      <w:rFonts w:ascii="宋体" w:hAnsi="Courier New" w:cs="Courier New"/>
      <w:szCs w:val="21"/>
    </w:r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qFormat/>
    <w:uiPriority w:val="99"/>
    <w:pPr>
      <w:ind w:left="200" w:leftChars="200" w:hanging="200" w:hangingChars="200"/>
    </w:p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7"/>
    <w:next w:val="1"/>
    <w:unhideWhenUsed/>
    <w:qFormat/>
    <w:uiPriority w:val="99"/>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字符"/>
    <w:link w:val="12"/>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字符"/>
    <w:link w:val="11"/>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字符"/>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9"/>
    <w:link w:val="3"/>
    <w:qFormat/>
    <w:uiPriority w:val="9"/>
    <w:rPr>
      <w:rFonts w:ascii="Times New Roman" w:hAnsi="Times New Roman"/>
      <w:b/>
      <w:bCs/>
      <w:kern w:val="44"/>
      <w:sz w:val="44"/>
      <w:szCs w:val="44"/>
    </w:rPr>
  </w:style>
  <w:style w:type="character" w:customStyle="1" w:styleId="32">
    <w:name w:val="标题 2 字符"/>
    <w:basedOn w:val="19"/>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9"/>
    <w:link w:val="10"/>
    <w:semiHidden/>
    <w:qFormat/>
    <w:uiPriority w:val="99"/>
    <w:rPr>
      <w:rFonts w:ascii="Times New Roman" w:hAnsi="Times New Roman"/>
      <w:kern w:val="2"/>
      <w:sz w:val="18"/>
      <w:szCs w:val="18"/>
    </w:rPr>
  </w:style>
  <w:style w:type="character" w:customStyle="1" w:styleId="35">
    <w:name w:val="标题 3 字符"/>
    <w:basedOn w:val="19"/>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character" w:customStyle="1" w:styleId="38">
    <w:name w:val="font41"/>
    <w:basedOn w:val="19"/>
    <w:qFormat/>
    <w:uiPriority w:val="0"/>
    <w:rPr>
      <w:rFonts w:hint="eastAsia" w:ascii="宋体" w:hAnsi="宋体" w:eastAsia="宋体" w:cs="宋体"/>
      <w:color w:val="000000"/>
      <w:sz w:val="20"/>
      <w:szCs w:val="20"/>
      <w:u w:val="none"/>
    </w:rPr>
  </w:style>
  <w:style w:type="character" w:customStyle="1" w:styleId="39">
    <w:name w:val="font51"/>
    <w:basedOn w:val="19"/>
    <w:qFormat/>
    <w:uiPriority w:val="0"/>
    <w:rPr>
      <w:rFonts w:hint="eastAsia" w:ascii="宋体" w:hAnsi="宋体" w:eastAsia="宋体" w:cs="宋体"/>
      <w:color w:val="000000"/>
      <w:sz w:val="20"/>
      <w:szCs w:val="20"/>
      <w:u w:val="none"/>
    </w:rPr>
  </w:style>
  <w:style w:type="character" w:customStyle="1" w:styleId="40">
    <w:name w:val="font61"/>
    <w:basedOn w:val="19"/>
    <w:qFormat/>
    <w:uiPriority w:val="0"/>
    <w:rPr>
      <w:rFonts w:hint="eastAsia" w:ascii="宋体" w:hAnsi="宋体" w:eastAsia="宋体" w:cs="宋体"/>
      <w:color w:val="000000"/>
      <w:sz w:val="16"/>
      <w:szCs w:val="16"/>
      <w:u w:val="none"/>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paragraph" w:customStyle="1" w:styleId="4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4"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c:spPr>
          <c:invertIfNegative val="false"/>
          <c:dPt>
            <c:idx val="1"/>
            <c:invertIfNegative val="false"/>
            <c:bubble3D val="false"/>
            <c:spPr>
              <a:solidFill>
                <a:srgbClr val="FFC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1008.11</c:v>
                </c:pt>
                <c:pt idx="1">
                  <c:v>646.47</c:v>
                </c:pt>
              </c:numCache>
            </c:numRef>
          </c:val>
        </c:ser>
        <c:dLbls>
          <c:showLegendKey val="false"/>
          <c:showVal val="true"/>
          <c:showCatName val="false"/>
          <c:showSerName val="false"/>
          <c:showPercent val="false"/>
          <c:showBubbleSize val="false"/>
        </c:dLbls>
        <c:gapWidth val="150"/>
        <c:axId val="132649344"/>
        <c:axId val="132650880"/>
      </c:barChart>
      <c:catAx>
        <c:axId val="13264934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50880"/>
        <c:crosses val="autoZero"/>
        <c:auto val="true"/>
        <c:lblAlgn val="ctr"/>
        <c:lblOffset val="100"/>
        <c:noMultiLvlLbl val="false"/>
      </c:catAx>
      <c:valAx>
        <c:axId val="13265088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[工作簿4]Sheet1!$A$29:$A$30</c:f>
              <c:strCache>
                <c:ptCount val="2"/>
                <c:pt idx="0">
                  <c:v>收入决算结构图</c:v>
                </c:pt>
                <c:pt idx="1">
                  <c:v>一般公共预算财政拨款收入</c:v>
                </c:pt>
              </c:strCache>
            </c:strRef>
          </c:cat>
          <c:val>
            <c:numRef>
              <c:f>[工作簿4]Sheet1!$B$29:$B$30</c:f>
              <c:numCache>
                <c:formatCode>General</c:formatCode>
                <c:ptCount val="2"/>
                <c:pt idx="1">
                  <c:v>1121.27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9224846894138"/>
          <c:y val="0.150462962962963"/>
          <c:w val="0.566371172353456"/>
          <c:h val="0.689814814814815"/>
        </c:manualLayout>
      </c:layout>
      <c:pieChart>
        <c:varyColors val="true"/>
        <c:ser>
          <c:idx val="0"/>
          <c:order val="0"/>
          <c:explosion val="0"/>
          <c:dPt>
            <c:idx val="0"/>
            <c:bubble3D val="false"/>
          </c:dPt>
          <c:dPt>
            <c:idx val="1"/>
            <c:bubble3D val="false"/>
          </c:dPt>
          <c:dLbls>
            <c:dLbl>
              <c:idx val="0"/>
              <c:layout>
                <c:manualLayout>
                  <c:x val="0.0848707349081365"/>
                  <c:y val="-0.17157334499854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86458880139982"/>
                  <c:y val="0.14014727325750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0.7996</c:v>
                </c:pt>
                <c:pt idx="1">
                  <c:v>0.2004</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9668853893263"/>
          <c:y val="0.0514005540974045"/>
          <c:w val="0.587929790026247"/>
          <c:h val="0.824965368912219"/>
        </c:manualLayout>
      </c:layout>
      <c:barChart>
        <c:barDir val="col"/>
        <c:grouping val="clustered"/>
        <c:varyColors val="false"/>
        <c:ser>
          <c:idx val="0"/>
          <c:order val="0"/>
          <c:invertIfNegative val="false"/>
          <c:dPt>
            <c:idx val="1"/>
            <c:invertIfNegative val="false"/>
            <c:bubble3D val="false"/>
            <c:spPr>
              <a:solidFill>
                <a:srgbClr val="C0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1008.11</c:v>
                </c:pt>
                <c:pt idx="1">
                  <c:v>646.47</c:v>
                </c:pt>
              </c:numCache>
            </c:numRef>
          </c:val>
        </c:ser>
        <c:dLbls>
          <c:showLegendKey val="false"/>
          <c:showVal val="true"/>
          <c:showCatName val="false"/>
          <c:showSerName val="false"/>
          <c:showPercent val="false"/>
          <c:showBubbleSize val="false"/>
        </c:dLbls>
        <c:gapWidth val="150"/>
        <c:axId val="133066112"/>
        <c:axId val="133084288"/>
      </c:barChart>
      <c:catAx>
        <c:axId val="13306611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084288"/>
        <c:crosses val="autoZero"/>
        <c:auto val="true"/>
        <c:lblAlgn val="ctr"/>
        <c:lblOffset val="100"/>
        <c:noMultiLvlLbl val="false"/>
      </c:catAx>
      <c:valAx>
        <c:axId val="13308428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571741032371"/>
          <c:y val="0.168676727909011"/>
          <c:w val="0.606249125109361"/>
          <c:h val="0.679911417322835"/>
        </c:manualLayout>
      </c:layout>
      <c:barChart>
        <c:barDir val="col"/>
        <c:grouping val="clustered"/>
        <c:varyColors val="false"/>
        <c:ser>
          <c:idx val="0"/>
          <c:order val="0"/>
          <c:invertIfNegative val="false"/>
          <c:dPt>
            <c:idx val="1"/>
            <c:invertIfNegative val="false"/>
            <c:bubble3D val="false"/>
            <c:spPr>
              <a:solidFill>
                <a:srgbClr val="FF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1008.11</c:v>
                </c:pt>
                <c:pt idx="1">
                  <c:v>646.47</c:v>
                </c:pt>
              </c:numCache>
            </c:numRef>
          </c:val>
        </c:ser>
        <c:dLbls>
          <c:showLegendKey val="false"/>
          <c:showVal val="true"/>
          <c:showCatName val="false"/>
          <c:showSerName val="false"/>
          <c:showPercent val="false"/>
          <c:showBubbleSize val="false"/>
        </c:dLbls>
        <c:gapWidth val="150"/>
        <c:axId val="133142016"/>
        <c:axId val="133143552"/>
      </c:barChart>
      <c:catAx>
        <c:axId val="1331420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143552"/>
        <c:crosses val="autoZero"/>
        <c:auto val="true"/>
        <c:lblAlgn val="ctr"/>
        <c:lblOffset val="100"/>
        <c:noMultiLvlLbl val="false"/>
      </c:catAx>
      <c:valAx>
        <c:axId val="13314355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spPr>
              <a:solidFill>
                <a:schemeClr val="tx2">
                  <a:lumMod val="40000"/>
                  <a:lumOff val="60000"/>
                </a:schemeClr>
              </a:solidFill>
            </c:spPr>
          </c:dPt>
          <c:dPt>
            <c:idx val="1"/>
            <c:bubble3D val="false"/>
          </c:dPt>
          <c:dPt>
            <c:idx val="2"/>
            <c:bubble3D val="false"/>
          </c:dPt>
          <c:dPt>
            <c:idx val="3"/>
            <c:bubble3D val="false"/>
          </c:dPt>
          <c:dLbls>
            <c:dLbl>
              <c:idx val="0"/>
              <c:layout>
                <c:manualLayout>
                  <c:x val="0.0483216316710411"/>
                  <c:y val="0.097738043161271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46208442694663"/>
                  <c:y val="-0.03596310877806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00951443569554"/>
                  <c:y val="-0.132278361038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66543197725284"/>
                  <c:y val="-0.10867344706911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252.46</c:v>
                </c:pt>
                <c:pt idx="1">
                  <c:v>67.13</c:v>
                </c:pt>
                <c:pt idx="2">
                  <c:v>19.27</c:v>
                </c:pt>
                <c:pt idx="3">
                  <c:v>28.91</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dLbl>
              <c:idx val="0"/>
              <c:layout>
                <c:manualLayout>
                  <c:x val="-0.0677309711286089"/>
                  <c:y val="-0.062589676290463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2130139982502"/>
                  <c:y val="-0.049858194808982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79491251093613"/>
                  <c:y val="0.05496974336541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1.57</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664920094314907"/>
          <c:y val="0.34151738973956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33</TotalTime>
  <ScaleCrop>false</ScaleCrop>
  <LinksUpToDate>false</LinksUpToDate>
  <CharactersWithSpaces>8226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2023-11-22T16:29:47Z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70126FCAEFC24D3D9EEB3D1CF9284D05_12</vt:lpwstr>
  </property>
</Properties>
</file>