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adjustRightInd w:val="0"/>
        <w:snapToGrid w:val="0"/>
        <w:spacing w:line="360" w:lineRule="auto"/>
        <w:jc w:val="center"/>
        <w:outlineLvl w:val="0"/>
        <w:rPr>
          <w:rFonts w:ascii="方正小标宋简体" w:hAnsi="宋体" w:eastAsia="方正小标宋简体"/>
          <w:sz w:val="72"/>
          <w:szCs w:val="72"/>
        </w:rPr>
      </w:pPr>
      <w:bookmarkStart w:id="1" w:name="_Toc20006"/>
      <w:r>
        <w:rPr>
          <w:rFonts w:hint="eastAsia" w:ascii="方正小标宋简体" w:hAnsi="宋体" w:eastAsia="方正小标宋简体"/>
          <w:sz w:val="72"/>
          <w:szCs w:val="72"/>
        </w:rPr>
        <w:t>2022年度</w:t>
      </w:r>
      <w:bookmarkEnd w:id="1"/>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56"/>
        </w:rPr>
      </w:pPr>
      <w:bookmarkStart w:id="2" w:name="_Toc28414"/>
      <w:bookmarkStart w:id="3" w:name="_Toc15378442"/>
      <w:bookmarkStart w:id="4" w:name="_Toc147925351"/>
      <w:bookmarkStart w:id="5" w:name="_Toc15377426"/>
      <w:bookmarkStart w:id="6" w:name="_Toc15396476"/>
      <w:bookmarkStart w:id="7" w:name="_Toc15396598"/>
      <w:bookmarkStart w:id="8" w:name="_Toc15377194"/>
      <w:r>
        <w:rPr>
          <w:rFonts w:hint="eastAsia" w:ascii="方正小标宋简体" w:hAnsi="方正小标宋简体" w:eastAsia="方正小标宋简体" w:cs="方正小标宋简体"/>
          <w:sz w:val="72"/>
          <w:szCs w:val="56"/>
        </w:rPr>
        <w:t>剑阁县</w:t>
      </w:r>
      <w:bookmarkEnd w:id="0"/>
      <w:bookmarkStart w:id="9" w:name="_Toc15306268"/>
      <w:r>
        <w:rPr>
          <w:rFonts w:hint="eastAsia" w:ascii="方正小标宋简体" w:hAnsi="方正小标宋简体" w:eastAsia="方正小标宋简体" w:cs="方正小标宋简体"/>
          <w:sz w:val="72"/>
          <w:szCs w:val="56"/>
        </w:rPr>
        <w:t>鹤龄镇中心卫生院</w:t>
      </w:r>
      <w:bookmarkEnd w:id="2"/>
    </w:p>
    <w:p>
      <w:pPr>
        <w:adjustRightInd w:val="0"/>
        <w:snapToGrid w:val="0"/>
        <w:spacing w:line="360" w:lineRule="auto"/>
        <w:jc w:val="center"/>
        <w:outlineLvl w:val="0"/>
        <w:rPr>
          <w:rFonts w:ascii="方正小标宋简体" w:hAnsi="方正小标宋简体" w:eastAsia="方正小标宋简体" w:cs="方正小标宋简体"/>
          <w:sz w:val="72"/>
          <w:szCs w:val="56"/>
        </w:rPr>
      </w:pPr>
      <w:bookmarkStart w:id="10" w:name="_Toc18778"/>
      <w:r>
        <w:rPr>
          <w:rFonts w:hint="eastAsia" w:ascii="方正小标宋简体" w:hAnsi="方正小标宋简体" w:eastAsia="方正小标宋简体" w:cs="方正小标宋简体"/>
          <w:sz w:val="72"/>
          <w:szCs w:val="56"/>
        </w:rPr>
        <w:t>单位决算</w:t>
      </w:r>
      <w:bookmarkEnd w:id="3"/>
      <w:bookmarkEnd w:id="4"/>
      <w:bookmarkEnd w:id="5"/>
      <w:bookmarkEnd w:id="6"/>
      <w:bookmarkEnd w:id="7"/>
      <w:bookmarkEnd w:id="8"/>
      <w:bookmarkEnd w:id="9"/>
      <w:bookmarkEnd w:id="10"/>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29</w:t>
      </w:r>
      <w:bookmarkStart w:id="111" w:name="_GoBack"/>
      <w:bookmarkEnd w:id="111"/>
      <w:r>
        <w:rPr>
          <w:rFonts w:hint="eastAsia"/>
        </w:rPr>
        <w:t>日</w:t>
      </w:r>
    </w:p>
    <w:p/>
    <w:sdt>
      <w:sdtPr>
        <w:rPr>
          <w:rFonts w:ascii="Times New Roman" w:hAnsi="Times New Roman" w:eastAsia="宋体" w:cs="Times New Roman"/>
          <w:b w:val="0"/>
          <w:bCs w:val="0"/>
          <w:color w:val="auto"/>
          <w:kern w:val="2"/>
          <w:sz w:val="21"/>
          <w:szCs w:val="24"/>
          <w:lang w:val="zh-CN"/>
        </w:rPr>
        <w:id w:val="-187420133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rPr>
              <w:rFonts w:ascii="Times New Roman" w:hAnsi="Times New Roman" w:eastAsia="宋体" w:cs="Times New Roman"/>
              <w:kern w:val="2"/>
              <w:sz w:val="21"/>
              <w:szCs w:val="24"/>
              <w:lang w:val="en-US" w:eastAsia="zh-CN" w:bidi="ar-SA"/>
            </w:rPr>
          </w:pPr>
          <w:r>
            <w:fldChar w:fldCharType="begin"/>
          </w:r>
          <w:r>
            <w:instrText xml:space="preserve"> TOC \o "1-3" \h \z \u </w:instrText>
          </w:r>
          <w:r>
            <w:fldChar w:fldCharType="separate"/>
          </w:r>
        </w:p>
        <w:p>
          <w:pPr>
            <w:pStyle w:val="12"/>
            <w:tabs>
              <w:tab w:val="right" w:leader="dot" w:pos="8306"/>
              <w:tab w:val="clear" w:pos="8296"/>
            </w:tabs>
          </w:pPr>
          <w:r>
            <w:fldChar w:fldCharType="begin"/>
          </w:r>
          <w:r>
            <w:instrText xml:space="preserve"> HYPERLINK \l _Toc24396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_Toc24396 \h </w:instrText>
          </w:r>
          <w:r>
            <w:fldChar w:fldCharType="separate"/>
          </w:r>
          <w:r>
            <w:t>4</w:t>
          </w:r>
          <w:r>
            <w:fldChar w:fldCharType="end"/>
          </w:r>
          <w:r>
            <w:fldChar w:fldCharType="end"/>
          </w:r>
        </w:p>
        <w:p>
          <w:pPr>
            <w:pStyle w:val="13"/>
            <w:tabs>
              <w:tab w:val="right" w:leader="dot" w:pos="8306"/>
              <w:tab w:val="clear" w:pos="8296"/>
            </w:tabs>
          </w:pPr>
          <w:r>
            <w:fldChar w:fldCharType="begin"/>
          </w:r>
          <w:r>
            <w:instrText xml:space="preserve"> HYPERLINK \l _Toc23379 </w:instrText>
          </w:r>
          <w:r>
            <w:fldChar w:fldCharType="separate"/>
          </w:r>
          <w:r>
            <w:rPr>
              <w:rFonts w:hint="eastAsia" w:ascii="黑体" w:hAnsi="黑体" w:eastAsia="黑体"/>
              <w:bCs w:val="0"/>
            </w:rPr>
            <w:t>一、 主要职责</w:t>
          </w:r>
          <w:r>
            <w:tab/>
          </w:r>
          <w:r>
            <w:fldChar w:fldCharType="begin"/>
          </w:r>
          <w:r>
            <w:instrText xml:space="preserve"> PAGEREF _Toc23379 \h </w:instrText>
          </w:r>
          <w:r>
            <w:fldChar w:fldCharType="separate"/>
          </w:r>
          <w:r>
            <w:t>4</w:t>
          </w:r>
          <w:r>
            <w:fldChar w:fldCharType="end"/>
          </w:r>
          <w:r>
            <w:fldChar w:fldCharType="end"/>
          </w:r>
        </w:p>
        <w:p>
          <w:pPr>
            <w:pStyle w:val="13"/>
            <w:tabs>
              <w:tab w:val="right" w:leader="dot" w:pos="8306"/>
              <w:tab w:val="clear" w:pos="8296"/>
            </w:tabs>
          </w:pPr>
          <w:r>
            <w:fldChar w:fldCharType="begin"/>
          </w:r>
          <w:r>
            <w:instrText xml:space="preserve"> HYPERLINK \l _Toc26328 </w:instrText>
          </w:r>
          <w:r>
            <w:fldChar w:fldCharType="separate"/>
          </w:r>
          <w:r>
            <w:rPr>
              <w:rFonts w:hint="eastAsia" w:ascii="黑体" w:hAnsi="黑体" w:eastAsia="黑体"/>
            </w:rPr>
            <w:t>二、机构设置</w:t>
          </w:r>
          <w:r>
            <w:tab/>
          </w:r>
          <w:r>
            <w:fldChar w:fldCharType="begin"/>
          </w:r>
          <w:r>
            <w:instrText xml:space="preserve"> PAGEREF _Toc26328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_Toc23018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_Toc23018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_Toc17027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_Toc17027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_Toc31551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_Toc31551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_Toc1057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_Toc1057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_Toc19094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_Toc19094 \h </w:instrText>
          </w:r>
          <w:r>
            <w:fldChar w:fldCharType="separate"/>
          </w:r>
          <w:r>
            <w:t>7</w:t>
          </w:r>
          <w:r>
            <w:fldChar w:fldCharType="end"/>
          </w:r>
          <w:r>
            <w:fldChar w:fldCharType="end"/>
          </w:r>
        </w:p>
        <w:p>
          <w:pPr>
            <w:pStyle w:val="13"/>
            <w:tabs>
              <w:tab w:val="right" w:leader="dot" w:pos="8306"/>
              <w:tab w:val="clear" w:pos="8296"/>
            </w:tabs>
          </w:pPr>
          <w:r>
            <w:fldChar w:fldCharType="begin"/>
          </w:r>
          <w:r>
            <w:instrText xml:space="preserve"> HYPERLINK \l _Toc10089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_Toc10089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_Toc13743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_Toc13743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_Toc32076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_Toc32076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_Toc27929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_Toc27929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_Toc12278 </w:instrText>
          </w:r>
          <w:r>
            <w:fldChar w:fldCharType="separate"/>
          </w:r>
          <w:r>
            <w:rPr>
              <w:rFonts w:hint="eastAsia" w:ascii="仿宋" w:hAnsi="仿宋" w:eastAsia="仿宋"/>
              <w:szCs w:val="32"/>
            </w:rPr>
            <w:t>2022年一般公共预算支出决算数为468.64万元，</w:t>
          </w:r>
          <w:r>
            <w:rPr>
              <w:rFonts w:hint="eastAsia" w:ascii="仿宋" w:hAnsi="仿宋" w:eastAsia="仿宋"/>
              <w:bCs/>
              <w:szCs w:val="32"/>
            </w:rPr>
            <w:t>完成预算10</w:t>
          </w:r>
          <w:r>
            <w:rPr>
              <w:rFonts w:ascii="仿宋" w:hAnsi="仿宋" w:eastAsia="仿宋"/>
              <w:bCs/>
              <w:szCs w:val="32"/>
            </w:rPr>
            <w:t>0%</w:t>
          </w:r>
          <w:r>
            <w:rPr>
              <w:rFonts w:hint="eastAsia" w:ascii="仿宋" w:hAnsi="仿宋" w:eastAsia="仿宋"/>
              <w:bCs/>
              <w:szCs w:val="32"/>
            </w:rPr>
            <w:t>。其中：</w:t>
          </w:r>
          <w:r>
            <w:tab/>
          </w:r>
          <w:r>
            <w:fldChar w:fldCharType="begin"/>
          </w:r>
          <w:r>
            <w:instrText xml:space="preserve"> PAGEREF _Toc12278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_Toc15873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_Toc15873 \h </w:instrText>
          </w:r>
          <w:r>
            <w:fldChar w:fldCharType="separate"/>
          </w:r>
          <w:r>
            <w:t>9</w:t>
          </w:r>
          <w:r>
            <w:fldChar w:fldCharType="end"/>
          </w:r>
          <w:r>
            <w:fldChar w:fldCharType="end"/>
          </w:r>
        </w:p>
        <w:p>
          <w:pPr>
            <w:pStyle w:val="13"/>
            <w:tabs>
              <w:tab w:val="right" w:leader="dot" w:pos="8306"/>
              <w:tab w:val="clear" w:pos="8296"/>
            </w:tabs>
          </w:pPr>
          <w:r>
            <w:fldChar w:fldCharType="begin"/>
          </w:r>
          <w:r>
            <w:instrText xml:space="preserve"> HYPERLINK \l _Toc10153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_Toc10153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_Toc10308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_Toc10308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_Toc17130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_Toc17130 \h </w:instrText>
          </w:r>
          <w:r>
            <w:fldChar w:fldCharType="separate"/>
          </w:r>
          <w:r>
            <w:t>9</w:t>
          </w:r>
          <w:r>
            <w:fldChar w:fldCharType="end"/>
          </w:r>
          <w:r>
            <w:fldChar w:fldCharType="end"/>
          </w:r>
        </w:p>
        <w:p>
          <w:pPr>
            <w:pStyle w:val="13"/>
            <w:tabs>
              <w:tab w:val="right" w:leader="dot" w:pos="8306"/>
              <w:tab w:val="clear" w:pos="8296"/>
            </w:tabs>
          </w:pPr>
          <w:r>
            <w:fldChar w:fldCharType="begin"/>
          </w:r>
          <w:r>
            <w:instrText xml:space="preserve"> HYPERLINK \l _Toc24072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_Toc24072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_Toc18989 </w:instrText>
          </w:r>
          <w:r>
            <w:fldChar w:fldCharType="separate"/>
          </w:r>
          <w:r>
            <w:rPr>
              <w:rFonts w:hint="eastAsia" w:ascii="黑体" w:hAnsi="黑体" w:eastAsia="黑体"/>
            </w:rPr>
            <w:t>九、 国有资本经营预算支出决算情况说明</w:t>
          </w:r>
          <w:r>
            <w:tab/>
          </w:r>
          <w:r>
            <w:fldChar w:fldCharType="begin"/>
          </w:r>
          <w:r>
            <w:instrText xml:space="preserve"> PAGEREF _Toc18989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_Toc4398 </w:instrText>
          </w:r>
          <w:r>
            <w:fldChar w:fldCharType="separate"/>
          </w:r>
          <w:r>
            <w:rPr>
              <w:rFonts w:hint="eastAsia" w:ascii="黑体" w:hAnsi="黑体" w:eastAsia="黑体"/>
            </w:rPr>
            <w:t>十、 其他重要事项的情况说明</w:t>
          </w:r>
          <w:r>
            <w:tab/>
          </w:r>
          <w:r>
            <w:fldChar w:fldCharType="begin"/>
          </w:r>
          <w:r>
            <w:instrText xml:space="preserve"> PAGEREF _Toc4398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_Toc3596 </w:instrText>
          </w:r>
          <w:r>
            <w:fldChar w:fldCharType="separate"/>
          </w:r>
          <w:r>
            <w:rPr>
              <w:rFonts w:hint="eastAsia" w:ascii="仿宋" w:hAnsi="仿宋" w:eastAsia="仿宋"/>
              <w:szCs w:val="32"/>
            </w:rPr>
            <w:t>（一）机关运行经费支出情况</w:t>
          </w:r>
          <w:r>
            <w:tab/>
          </w:r>
          <w:r>
            <w:fldChar w:fldCharType="begin"/>
          </w:r>
          <w:r>
            <w:instrText xml:space="preserve"> PAGEREF _Toc3596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_Toc1341 </w:instrText>
          </w:r>
          <w:r>
            <w:fldChar w:fldCharType="separate"/>
          </w:r>
          <w:r>
            <w:rPr>
              <w:rFonts w:hint="eastAsia" w:ascii="仿宋" w:hAnsi="仿宋" w:eastAsia="仿宋"/>
              <w:szCs w:val="32"/>
            </w:rPr>
            <w:t>（二）政府采购支出情况</w:t>
          </w:r>
          <w:r>
            <w:tab/>
          </w:r>
          <w:r>
            <w:fldChar w:fldCharType="begin"/>
          </w:r>
          <w:r>
            <w:instrText xml:space="preserve"> PAGEREF _Toc1341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_Toc27646 </w:instrText>
          </w:r>
          <w:r>
            <w:fldChar w:fldCharType="separate"/>
          </w:r>
          <w:r>
            <w:rPr>
              <w:rFonts w:hint="eastAsia" w:ascii="仿宋" w:hAnsi="仿宋" w:eastAsia="仿宋"/>
              <w:szCs w:val="32"/>
            </w:rPr>
            <w:t>（三）国有资产占有使用情况</w:t>
          </w:r>
          <w:r>
            <w:tab/>
          </w:r>
          <w:r>
            <w:fldChar w:fldCharType="begin"/>
          </w:r>
          <w:r>
            <w:instrText xml:space="preserve"> PAGEREF _Toc27646 \h </w:instrText>
          </w:r>
          <w:r>
            <w:fldChar w:fldCharType="separate"/>
          </w:r>
          <w:r>
            <w:t>12</w:t>
          </w:r>
          <w:r>
            <w:fldChar w:fldCharType="end"/>
          </w:r>
          <w:r>
            <w:fldChar w:fldCharType="end"/>
          </w:r>
        </w:p>
        <w:p>
          <w:pPr>
            <w:pStyle w:val="7"/>
            <w:tabs>
              <w:tab w:val="right" w:leader="dot" w:pos="8306"/>
              <w:tab w:val="clear" w:pos="8296"/>
            </w:tabs>
          </w:pPr>
          <w:r>
            <w:fldChar w:fldCharType="begin"/>
          </w:r>
          <w:r>
            <w:instrText xml:space="preserve"> HYPERLINK \l _Toc20914 </w:instrText>
          </w:r>
          <w:r>
            <w:fldChar w:fldCharType="separate"/>
          </w:r>
          <w:r>
            <w:rPr>
              <w:rFonts w:hint="eastAsia" w:ascii="仿宋" w:hAnsi="仿宋" w:eastAsia="仿宋"/>
              <w:szCs w:val="32"/>
            </w:rPr>
            <w:t>（四）预算绩效管理情况</w:t>
          </w:r>
          <w:r>
            <w:tab/>
          </w:r>
          <w:r>
            <w:fldChar w:fldCharType="begin"/>
          </w:r>
          <w:r>
            <w:instrText xml:space="preserve"> PAGEREF _Toc20914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_Toc5601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_Toc5601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_Toc24546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_Toc24546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_Toc6882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_Toc6882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_Toc18636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_Toc18636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_Toc25726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_Toc25726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_Toc6794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_Toc6794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_Toc12465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_Toc12465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_Toc2629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_Toc2629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_Toc6810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_Toc6810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_Toc32475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_Toc32475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_Toc3339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_Toc3339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_Toc403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_Toc403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_Toc5863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_Toc5863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_Toc19859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_Toc19859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_Toc5958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_Toc5958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_Toc15355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_Toc15355 \h </w:instrText>
          </w:r>
          <w:r>
            <w:fldChar w:fldCharType="separate"/>
          </w:r>
          <w:r>
            <w:t>22</w:t>
          </w:r>
          <w:r>
            <w:fldChar w:fldCharType="end"/>
          </w:r>
          <w:r>
            <w:fldChar w:fldCharType="end"/>
          </w:r>
        </w:p>
        <w:p>
          <w:pPr>
            <w:pStyle w:val="50"/>
          </w:pPr>
          <w:r>
            <w:fldChar w:fldCharType="end"/>
          </w:r>
        </w:p>
      </w:sdtContent>
    </w:sdt>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pStyle w:val="2"/>
        <w:jc w:val="center"/>
        <w:rPr>
          <w:rStyle w:val="29"/>
          <w:rFonts w:ascii="黑体" w:hAnsi="黑体" w:eastAsia="黑体"/>
          <w:b/>
          <w:bCs w:val="0"/>
        </w:rPr>
      </w:pPr>
      <w:bookmarkStart w:id="13" w:name="_Toc24396"/>
      <w:r>
        <w:rPr>
          <w:rFonts w:hint="eastAsia" w:ascii="黑体" w:hAnsi="黑体" w:eastAsia="黑体"/>
          <w:b w:val="0"/>
        </w:rPr>
        <w:t>第一部分 单位</w:t>
      </w:r>
      <w:r>
        <w:rPr>
          <w:rStyle w:val="29"/>
          <w:rFonts w:hint="eastAsia" w:ascii="黑体" w:hAnsi="黑体" w:eastAsia="黑体"/>
          <w:b w:val="0"/>
          <w:bCs w:val="0"/>
        </w:rPr>
        <w:t>概况</w:t>
      </w:r>
      <w:bookmarkEnd w:id="11"/>
      <w:bookmarkEnd w:id="12"/>
      <w:bookmarkEnd w:id="13"/>
    </w:p>
    <w:p>
      <w:pPr>
        <w:widowControl/>
        <w:jc w:val="left"/>
        <w:rPr>
          <w:rFonts w:ascii="黑体" w:eastAsia="黑体"/>
          <w:sz w:val="32"/>
          <w:szCs w:val="32"/>
        </w:rPr>
      </w:pPr>
    </w:p>
    <w:p>
      <w:pPr>
        <w:pStyle w:val="3"/>
        <w:numPr>
          <w:ilvl w:val="0"/>
          <w:numId w:val="1"/>
        </w:numPr>
        <w:rPr>
          <w:rStyle w:val="30"/>
          <w:rFonts w:ascii="黑体" w:hAnsi="黑体" w:eastAsia="黑体"/>
          <w:b w:val="0"/>
          <w:bCs w:val="0"/>
        </w:rPr>
      </w:pPr>
      <w:bookmarkStart w:id="14" w:name="_Toc23379"/>
      <w:bookmarkStart w:id="15" w:name="_Toc15396600"/>
      <w:bookmarkStart w:id="16" w:name="_Toc15377197"/>
      <w:r>
        <w:rPr>
          <w:rStyle w:val="30"/>
          <w:rFonts w:hint="eastAsia" w:ascii="黑体" w:hAnsi="黑体" w:eastAsia="黑体"/>
          <w:b w:val="0"/>
          <w:bCs w:val="0"/>
        </w:rPr>
        <w:t>主要职责</w:t>
      </w:r>
      <w:bookmarkEnd w:id="14"/>
    </w:p>
    <w:p>
      <w:pPr>
        <w:pStyle w:val="13"/>
        <w:adjustRightInd w:val="0"/>
        <w:snapToGrid w:val="0"/>
        <w:spacing w:line="440" w:lineRule="exact"/>
        <w:jc w:val="left"/>
        <w:rPr>
          <w:sz w:val="36"/>
          <w:szCs w:val="36"/>
        </w:rPr>
      </w:pPr>
      <w:r>
        <w:rPr>
          <w:rFonts w:hint="eastAsia"/>
          <w:sz w:val="36"/>
          <w:szCs w:val="36"/>
        </w:rPr>
        <w:t>（一）单位</w:t>
      </w:r>
      <w:r>
        <w:rPr>
          <w:sz w:val="36"/>
          <w:szCs w:val="36"/>
        </w:rPr>
        <w:t>职责</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剑阁县鹤龄镇中心卫生院，负责本辖区内的公共卫生、基本医疗、预防保健、卫生宣传、妇幼保健、儿童计划免疫、传染病管理、日常事务等工作，并完成上级下达的各项工作任务。</w:t>
      </w:r>
    </w:p>
    <w:p>
      <w:pPr>
        <w:pStyle w:val="13"/>
        <w:adjustRightInd w:val="0"/>
        <w:snapToGrid w:val="0"/>
        <w:spacing w:line="440" w:lineRule="exact"/>
        <w:jc w:val="left"/>
        <w:rPr>
          <w:b/>
          <w:bCs/>
          <w:sz w:val="36"/>
          <w:szCs w:val="36"/>
        </w:rPr>
      </w:pPr>
      <w:r>
        <w:rPr>
          <w:rFonts w:hint="eastAsia"/>
          <w:sz w:val="36"/>
          <w:szCs w:val="36"/>
        </w:rPr>
        <w:t>（二）2022年重点工作完成情况</w:t>
      </w:r>
    </w:p>
    <w:p>
      <w:pPr>
        <w:pStyle w:val="8"/>
        <w:ind w:firstLine="640" w:firstLineChars="200"/>
        <w:rPr>
          <w:rFonts w:ascii="Times New Roman" w:hAnsi="Times New Roman" w:eastAsia="宋体" w:cs="Times New Roman"/>
          <w:b w:val="0"/>
          <w:sz w:val="32"/>
          <w:szCs w:val="32"/>
        </w:rPr>
      </w:pPr>
      <w:r>
        <w:rPr>
          <w:rFonts w:hint="eastAsia" w:ascii="Times New Roman" w:hAnsi="Times New Roman" w:eastAsia="宋体" w:cs="Times New Roman"/>
          <w:b w:val="0"/>
          <w:sz w:val="32"/>
          <w:szCs w:val="32"/>
        </w:rPr>
        <w:t>（1）医疗管理</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时刻保持高度警惕警觉，</w:t>
      </w:r>
      <w:r>
        <w:rPr>
          <w:rFonts w:hint="eastAsia" w:ascii="仿宋_GB2312" w:hAnsi="仿宋_GB2312" w:cs="仿宋_GB2312"/>
          <w:b w:val="0"/>
          <w:bCs/>
          <w:szCs w:val="32"/>
        </w:rPr>
        <w:t>坚持</w:t>
      </w:r>
      <w:r>
        <w:rPr>
          <w:rFonts w:ascii="仿宋_GB2312" w:hAnsi="仿宋_GB2312" w:cs="仿宋_GB2312"/>
          <w:b w:val="0"/>
          <w:bCs/>
          <w:szCs w:val="32"/>
        </w:rPr>
        <w:t>提升医疗服务能力、提升公共卫生服务水平、提升分级诊疗水平。</w:t>
      </w:r>
      <w:r>
        <w:rPr>
          <w:rFonts w:hint="eastAsia" w:ascii="仿宋_GB2312" w:hAnsi="仿宋_GB2312" w:cs="仿宋_GB2312"/>
          <w:b w:val="0"/>
          <w:bCs/>
          <w:szCs w:val="32"/>
        </w:rPr>
        <w:t>认真做好业务技术人员的相关专业知识学习，积极组织院内工作人员开展业务讲座和新知识培训，特别加强急诊救护知识的培训，加强医疗技术操作的培训。打造特色科室，建立高素质人才队伍。</w:t>
      </w:r>
    </w:p>
    <w:p>
      <w:pPr>
        <w:pStyle w:val="8"/>
        <w:ind w:firstLine="640" w:firstLineChars="200"/>
        <w:rPr>
          <w:rFonts w:ascii="Times New Roman" w:hAnsi="Times New Roman" w:eastAsia="宋体" w:cs="Times New Roman"/>
          <w:b w:val="0"/>
          <w:sz w:val="32"/>
          <w:szCs w:val="32"/>
        </w:rPr>
      </w:pPr>
      <w:r>
        <w:rPr>
          <w:rFonts w:hint="eastAsia" w:ascii="Times New Roman" w:hAnsi="Times New Roman" w:eastAsia="宋体" w:cs="Times New Roman"/>
          <w:b w:val="0"/>
          <w:sz w:val="32"/>
          <w:szCs w:val="32"/>
        </w:rPr>
        <w:t>（2）财务管理</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加强预算管理，严格项目绩效；认真执行津补贴发放制度。严格专项资金管理；认真清理往来账务，强化债务化解工作；建立健全财务管理制度和内部控制制度。</w:t>
      </w:r>
    </w:p>
    <w:p>
      <w:pPr>
        <w:pStyle w:val="3"/>
        <w:rPr>
          <w:rFonts w:ascii="黑体" w:hAnsi="黑体" w:eastAsia="黑体"/>
          <w:b w:val="0"/>
        </w:rPr>
      </w:pPr>
      <w:bookmarkStart w:id="17" w:name="_Toc26328"/>
      <w:r>
        <w:rPr>
          <w:rFonts w:hint="eastAsia" w:ascii="黑体" w:hAnsi="黑体" w:eastAsia="黑体"/>
          <w:b w:val="0"/>
        </w:rPr>
        <w:t>二、机构设置</w:t>
      </w:r>
      <w:bookmarkEnd w:id="17"/>
    </w:p>
    <w:bookmarkEnd w:id="15"/>
    <w:bookmarkEnd w:id="16"/>
    <w:p>
      <w:pPr>
        <w:snapToGrid w:val="0"/>
        <w:ind w:left="439" w:leftChars="209" w:firstLine="160" w:firstLineChars="50"/>
        <w:rPr>
          <w:rFonts w:ascii="仿宋_GB2312" w:hAnsi="仿宋" w:eastAsia="仿宋_GB2312"/>
          <w:sz w:val="32"/>
          <w:szCs w:val="32"/>
        </w:rPr>
      </w:pPr>
      <w:r>
        <w:rPr>
          <w:rFonts w:hint="eastAsia" w:ascii="仿宋_GB2312" w:hAnsi="仿宋" w:eastAsia="仿宋_GB2312"/>
          <w:sz w:val="32"/>
          <w:szCs w:val="32"/>
        </w:rPr>
        <w:t xml:space="preserve">年末独立编制机构数1个。 </w:t>
      </w:r>
    </w:p>
    <w:p>
      <w:pPr>
        <w:ind w:firstLine="640" w:firstLineChars="200"/>
      </w:pPr>
      <w:r>
        <w:rPr>
          <w:rFonts w:hint="eastAsia" w:ascii="仿宋_GB2312" w:hAnsi="仿宋" w:eastAsia="仿宋_GB2312"/>
          <w:sz w:val="32"/>
          <w:szCs w:val="32"/>
        </w:rPr>
        <w:t>我院集基本医疗、儿妇保、计划生育指导、预防保健为一体的非营利性医疗机构，开设有放射科、检验科、内科、儿科、外科、五官口腔科、中医科、康复理疗科等临床医技科室，配置有B超、全自动生化仪、心电图、全套理疗设备等先进医疗设备。</w:t>
      </w:r>
      <w:bookmarkStart w:id="18" w:name="_Toc15396602"/>
      <w:bookmarkStart w:id="19" w:name="_Toc15377204"/>
    </w:p>
    <w:p>
      <w:pPr>
        <w:pStyle w:val="2"/>
        <w:ind w:right="440"/>
        <w:jc w:val="center"/>
        <w:rPr>
          <w:rFonts w:ascii="黑体" w:hAnsi="黑体" w:eastAsia="黑体"/>
          <w:b w:val="0"/>
        </w:rPr>
      </w:pPr>
    </w:p>
    <w:p>
      <w:pPr>
        <w:rPr>
          <w:kern w:val="44"/>
          <w:sz w:val="44"/>
          <w:szCs w:val="44"/>
        </w:rPr>
      </w:pPr>
      <w:r>
        <w:br w:type="page"/>
      </w:r>
    </w:p>
    <w:p>
      <w:pPr>
        <w:pStyle w:val="2"/>
        <w:ind w:right="440"/>
        <w:jc w:val="center"/>
        <w:rPr>
          <w:rStyle w:val="29"/>
          <w:rFonts w:ascii="黑体" w:hAnsi="黑体" w:eastAsia="黑体"/>
          <w:b w:val="0"/>
          <w:bCs/>
        </w:rPr>
      </w:pPr>
      <w:bookmarkStart w:id="20" w:name="_Toc23018"/>
      <w:r>
        <w:rPr>
          <w:rFonts w:hint="eastAsia" w:ascii="黑体" w:hAnsi="黑体" w:eastAsia="黑体"/>
          <w:b w:val="0"/>
        </w:rPr>
        <w:t>第二部分 2022年度</w:t>
      </w:r>
      <w:r>
        <w:rPr>
          <w:rStyle w:val="29"/>
          <w:rFonts w:hint="eastAsia" w:ascii="黑体" w:hAnsi="黑体" w:eastAsia="黑体"/>
          <w:b w:val="0"/>
          <w:bCs/>
        </w:rPr>
        <w:t>单位决算情况说明</w:t>
      </w:r>
      <w:bookmarkEnd w:id="18"/>
      <w:bookmarkEnd w:id="19"/>
      <w:bookmarkEnd w:id="20"/>
    </w:p>
    <w:p/>
    <w:p>
      <w:pPr>
        <w:pStyle w:val="28"/>
        <w:numPr>
          <w:ilvl w:val="0"/>
          <w:numId w:val="2"/>
        </w:numPr>
        <w:spacing w:line="600" w:lineRule="exact"/>
        <w:ind w:firstLineChars="0"/>
        <w:outlineLvl w:val="1"/>
        <w:rPr>
          <w:rStyle w:val="30"/>
          <w:rFonts w:ascii="黑体" w:hAnsi="黑体" w:eastAsia="黑体"/>
          <w:b w:val="0"/>
        </w:rPr>
      </w:pPr>
      <w:bookmarkStart w:id="21" w:name="_Toc17027"/>
      <w:bookmarkStart w:id="22" w:name="_Toc15396603"/>
      <w:bookmarkStart w:id="2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1"/>
      <w:bookmarkEnd w:id="22"/>
      <w:bookmarkEnd w:id="23"/>
    </w:p>
    <w:p>
      <w:pPr>
        <w:pStyle w:val="15"/>
        <w:rPr>
          <w:rFonts w:ascii="仿宋_GB2312" w:eastAsia="仿宋_GB2312"/>
          <w:sz w:val="32"/>
          <w:szCs w:val="32"/>
        </w:rPr>
      </w:pPr>
      <w:r>
        <w:rPr>
          <w:rFonts w:hint="eastAsia" w:ascii="仿宋" w:hAnsi="仿宋" w:eastAsia="仿宋"/>
          <w:sz w:val="32"/>
          <w:szCs w:val="32"/>
        </w:rPr>
        <w:t>2022年度收入合计1803.73万元，</w:t>
      </w:r>
      <w:r>
        <w:rPr>
          <w:rFonts w:hint="eastAsia" w:ascii="仿宋" w:hAnsi="仿宋" w:eastAsia="仿宋" w:cs="仿宋"/>
          <w:sz w:val="32"/>
          <w:szCs w:val="32"/>
        </w:rPr>
        <w:t>2021年本单位未单独填报决算，由系统统一填报部门决算，故无法对比</w:t>
      </w:r>
      <w:r>
        <w:rPr>
          <w:rFonts w:hint="eastAsia" w:ascii="仿宋" w:hAnsi="仿宋" w:eastAsia="仿宋" w:cs="仿宋"/>
          <w:sz w:val="32"/>
          <w:szCs w:val="32"/>
          <w:lang w:eastAsia="zh-CN"/>
        </w:rPr>
        <w:t>。</w:t>
      </w:r>
    </w:p>
    <w:p>
      <w:pPr>
        <w:pStyle w:val="28"/>
        <w:numPr>
          <w:ilvl w:val="0"/>
          <w:numId w:val="2"/>
        </w:numPr>
        <w:spacing w:line="600" w:lineRule="exact"/>
        <w:ind w:firstLineChars="0"/>
        <w:outlineLvl w:val="1"/>
        <w:rPr>
          <w:rStyle w:val="30"/>
          <w:rFonts w:ascii="黑体" w:hAnsi="黑体" w:eastAsia="黑体"/>
          <w:b w:val="0"/>
        </w:rPr>
      </w:pPr>
      <w:bookmarkStart w:id="24" w:name="_Toc31551"/>
      <w:bookmarkStart w:id="25" w:name="_Toc15377206"/>
      <w:bookmarkStart w:id="26" w:name="_Toc15396604"/>
      <w:r>
        <w:rPr>
          <w:rFonts w:hint="eastAsia" w:ascii="黑体" w:hAnsi="黑体" w:eastAsia="黑体"/>
          <w:sz w:val="32"/>
          <w:szCs w:val="32"/>
        </w:rPr>
        <w:t>收</w:t>
      </w:r>
      <w:r>
        <w:rPr>
          <w:rStyle w:val="30"/>
          <w:rFonts w:hint="eastAsia" w:ascii="黑体" w:hAnsi="黑体" w:eastAsia="黑体"/>
          <w:b w:val="0"/>
        </w:rPr>
        <w:t>入决算情况说明</w:t>
      </w:r>
      <w:bookmarkEnd w:id="24"/>
      <w:bookmarkEnd w:id="25"/>
      <w:bookmarkEnd w:id="26"/>
    </w:p>
    <w:p>
      <w:pPr>
        <w:spacing w:line="600" w:lineRule="exact"/>
        <w:ind w:firstLine="640" w:firstLineChars="200"/>
        <w:outlineLvl w:val="1"/>
        <w:rPr>
          <w:rFonts w:ascii="仿宋" w:hAnsi="仿宋" w:eastAsia="仿宋"/>
          <w:sz w:val="32"/>
          <w:szCs w:val="32"/>
        </w:rPr>
      </w:pPr>
      <w:bookmarkStart w:id="27" w:name="_Toc4515"/>
      <w:bookmarkStart w:id="28" w:name="_Toc147925358"/>
      <w:r>
        <w:rPr>
          <w:rFonts w:ascii="仿宋" w:hAnsi="仿宋" w:eastAsia="仿宋"/>
          <w:sz w:val="32"/>
          <w:szCs w:val="32"/>
        </w:rPr>
        <w:t>20</w:t>
      </w:r>
      <w:r>
        <w:rPr>
          <w:rFonts w:hint="eastAsia" w:ascii="仿宋" w:hAnsi="仿宋" w:eastAsia="仿宋"/>
          <w:sz w:val="32"/>
          <w:szCs w:val="32"/>
        </w:rPr>
        <w:t>22年本年收入合计180</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3万元，其中：一般公共预算财政拨款收入468.64万元，占26</w:t>
      </w:r>
      <w:r>
        <w:rPr>
          <w:rFonts w:ascii="仿宋" w:hAnsi="仿宋" w:eastAsia="仿宋"/>
          <w:sz w:val="32"/>
          <w:szCs w:val="32"/>
        </w:rPr>
        <w:t>%</w:t>
      </w:r>
      <w:r>
        <w:rPr>
          <w:rFonts w:hint="eastAsia" w:ascii="仿宋" w:hAnsi="仿宋" w:eastAsia="仿宋"/>
          <w:sz w:val="32"/>
          <w:szCs w:val="32"/>
        </w:rPr>
        <w:t>；事业收入1156.23万元，占64</w:t>
      </w:r>
      <w:r>
        <w:rPr>
          <w:rFonts w:ascii="仿宋" w:hAnsi="仿宋" w:eastAsia="仿宋"/>
          <w:sz w:val="32"/>
          <w:szCs w:val="32"/>
        </w:rPr>
        <w:t>%</w:t>
      </w:r>
      <w:r>
        <w:rPr>
          <w:rFonts w:hint="eastAsia" w:ascii="仿宋" w:hAnsi="仿宋" w:eastAsia="仿宋"/>
          <w:sz w:val="32"/>
          <w:szCs w:val="32"/>
        </w:rPr>
        <w:t>；其他收入178.86万元，占10</w:t>
      </w:r>
      <w:r>
        <w:rPr>
          <w:rFonts w:ascii="仿宋" w:hAnsi="仿宋" w:eastAsia="仿宋"/>
          <w:sz w:val="32"/>
          <w:szCs w:val="32"/>
        </w:rPr>
        <w:t>%</w:t>
      </w:r>
      <w:r>
        <w:rPr>
          <w:rFonts w:hint="eastAsia" w:ascii="仿宋" w:hAnsi="仿宋" w:eastAsia="仿宋"/>
          <w:sz w:val="32"/>
          <w:szCs w:val="32"/>
        </w:rPr>
        <w:t>。</w:t>
      </w:r>
      <w:bookmarkEnd w:id="27"/>
      <w:bookmarkEnd w:id="28"/>
    </w:p>
    <w:p>
      <w:pPr>
        <w:pStyle w:val="14"/>
        <w:spacing w:before="93"/>
        <w:ind w:firstLine="300"/>
      </w:pPr>
      <w:r>
        <w:rPr>
          <w:rFonts w:hint="eastAsia"/>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4"/>
        <w:spacing w:before="93"/>
        <w:ind w:firstLine="300"/>
      </w:pPr>
    </w:p>
    <w:p>
      <w:pPr>
        <w:pStyle w:val="28"/>
        <w:numPr>
          <w:ilvl w:val="0"/>
          <w:numId w:val="2"/>
        </w:numPr>
        <w:spacing w:line="600" w:lineRule="exact"/>
        <w:ind w:firstLineChars="0"/>
        <w:outlineLvl w:val="1"/>
        <w:rPr>
          <w:rStyle w:val="30"/>
          <w:rFonts w:ascii="黑体" w:hAnsi="黑体" w:eastAsia="黑体"/>
          <w:b w:val="0"/>
        </w:rPr>
      </w:pPr>
      <w:bookmarkStart w:id="29" w:name="_Toc1057"/>
      <w:bookmarkStart w:id="30" w:name="_Toc15396605"/>
      <w:bookmarkStart w:id="31" w:name="_Toc15377207"/>
      <w:r>
        <w:rPr>
          <w:rFonts w:hint="eastAsia" w:ascii="黑体" w:hAnsi="黑体" w:eastAsia="黑体"/>
          <w:sz w:val="32"/>
          <w:szCs w:val="32"/>
        </w:rPr>
        <w:t>支</w:t>
      </w:r>
      <w:r>
        <w:rPr>
          <w:rStyle w:val="30"/>
          <w:rFonts w:hint="eastAsia" w:ascii="黑体" w:hAnsi="黑体" w:eastAsia="黑体"/>
          <w:b w:val="0"/>
        </w:rPr>
        <w:t>出决算情况说明</w:t>
      </w:r>
      <w:bookmarkEnd w:id="29"/>
      <w:bookmarkEnd w:id="30"/>
      <w:bookmarkEnd w:id="31"/>
    </w:p>
    <w:p>
      <w:pPr>
        <w:spacing w:line="600" w:lineRule="exact"/>
        <w:ind w:firstLine="640" w:firstLineChars="200"/>
        <w:outlineLvl w:val="1"/>
        <w:rPr>
          <w:rFonts w:hint="eastAsia" w:ascii="仿宋" w:hAnsi="仿宋" w:eastAsia="仿宋"/>
          <w:sz w:val="32"/>
          <w:szCs w:val="32"/>
          <w:lang w:eastAsia="zh-CN"/>
        </w:rPr>
      </w:pPr>
      <w:bookmarkStart w:id="32" w:name="_Toc147925361"/>
      <w:bookmarkStart w:id="33" w:name="_Toc25943"/>
      <w:r>
        <w:rPr>
          <w:rFonts w:ascii="仿宋" w:hAnsi="仿宋" w:eastAsia="仿宋"/>
          <w:sz w:val="32"/>
          <w:szCs w:val="32"/>
        </w:rPr>
        <w:t>20</w:t>
      </w:r>
      <w:r>
        <w:rPr>
          <w:rFonts w:hint="eastAsia" w:ascii="仿宋" w:hAnsi="仿宋" w:eastAsia="仿宋"/>
          <w:sz w:val="32"/>
          <w:szCs w:val="32"/>
        </w:rPr>
        <w:t>22年本年支出合计1803.73万元，其中：基本支出1778.6</w:t>
      </w:r>
      <w:r>
        <w:rPr>
          <w:rFonts w:hint="eastAsia" w:ascii="仿宋" w:hAnsi="仿宋" w:eastAsia="仿宋"/>
          <w:sz w:val="32"/>
          <w:szCs w:val="32"/>
          <w:lang w:val="en-US" w:eastAsia="zh-CN"/>
        </w:rPr>
        <w:t>4</w:t>
      </w:r>
      <w:r>
        <w:rPr>
          <w:rFonts w:hint="eastAsia" w:ascii="仿宋" w:hAnsi="仿宋" w:eastAsia="仿宋"/>
          <w:sz w:val="32"/>
          <w:szCs w:val="32"/>
        </w:rPr>
        <w:t>万元，占99</w:t>
      </w:r>
      <w:r>
        <w:rPr>
          <w:rFonts w:ascii="仿宋" w:hAnsi="仿宋" w:eastAsia="仿宋"/>
          <w:sz w:val="32"/>
          <w:szCs w:val="32"/>
        </w:rPr>
        <w:t>%</w:t>
      </w:r>
      <w:r>
        <w:rPr>
          <w:rFonts w:hint="eastAsia" w:ascii="仿宋" w:hAnsi="仿宋" w:eastAsia="仿宋"/>
          <w:sz w:val="32"/>
          <w:szCs w:val="32"/>
        </w:rPr>
        <w:t>；项目支出25.1万元，占1</w:t>
      </w:r>
      <w:r>
        <w:rPr>
          <w:rFonts w:ascii="仿宋" w:hAnsi="仿宋" w:eastAsia="仿宋"/>
          <w:sz w:val="32"/>
          <w:szCs w:val="32"/>
        </w:rPr>
        <w:t>%</w:t>
      </w:r>
      <w:bookmarkEnd w:id="32"/>
      <w:r>
        <w:rPr>
          <w:rFonts w:hint="eastAsia" w:ascii="仿宋" w:hAnsi="仿宋" w:eastAsia="仿宋"/>
          <w:sz w:val="32"/>
          <w:szCs w:val="32"/>
          <w:lang w:eastAsia="zh-CN"/>
        </w:rPr>
        <w:t>。</w:t>
      </w:r>
      <w:bookmarkEnd w:id="33"/>
    </w:p>
    <w:p>
      <w:pPr>
        <w:spacing w:line="600" w:lineRule="exact"/>
        <w:rPr>
          <w:rFonts w:ascii="仿宋" w:hAnsi="仿宋" w:eastAsia="仿宋"/>
          <w:sz w:val="32"/>
          <w:szCs w:val="32"/>
        </w:rPr>
      </w:pPr>
    </w:p>
    <w:p>
      <w:pPr>
        <w:pStyle w:val="14"/>
        <w:spacing w:before="93"/>
        <w:ind w:firstLine="300"/>
      </w:pPr>
      <w:r>
        <w:rPr>
          <w:rFonts w:hint="eastAsia"/>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30"/>
          <w:rFonts w:ascii="黑体" w:hAnsi="黑体" w:eastAsia="黑体"/>
          <w:b w:val="0"/>
        </w:rPr>
      </w:pPr>
      <w:bookmarkStart w:id="34" w:name="_Toc15377208"/>
      <w:bookmarkStart w:id="35" w:name="_Toc15396606"/>
      <w:bookmarkStart w:id="36" w:name="_Toc19094"/>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4"/>
      <w:bookmarkEnd w:id="35"/>
      <w:bookmarkEnd w:id="36"/>
    </w:p>
    <w:p>
      <w:pPr>
        <w:pStyle w:val="15"/>
      </w:pPr>
      <w:r>
        <w:rPr>
          <w:rFonts w:ascii="仿宋" w:hAnsi="仿宋" w:eastAsia="仿宋"/>
          <w:sz w:val="32"/>
          <w:szCs w:val="32"/>
        </w:rPr>
        <w:t>20</w:t>
      </w:r>
      <w:r>
        <w:rPr>
          <w:rFonts w:hint="eastAsia" w:ascii="仿宋" w:hAnsi="仿宋" w:eastAsia="仿宋"/>
          <w:sz w:val="32"/>
          <w:szCs w:val="32"/>
        </w:rPr>
        <w:t>22年财政拨款收支合计468.64万元。</w:t>
      </w:r>
      <w:r>
        <w:rPr>
          <w:rFonts w:hint="eastAsia" w:ascii="仿宋" w:hAnsi="仿宋" w:eastAsia="仿宋" w:cs="仿宋"/>
          <w:sz w:val="32"/>
          <w:szCs w:val="32"/>
        </w:rPr>
        <w:t>2021年本单位未单独填报决算，由系统统一填报部门决算，故无法对比</w:t>
      </w:r>
      <w:r>
        <w:rPr>
          <w:rFonts w:hint="eastAsia" w:ascii="仿宋" w:hAnsi="仿宋" w:eastAsia="仿宋" w:cs="仿宋"/>
          <w:sz w:val="32"/>
          <w:szCs w:val="32"/>
          <w:lang w:eastAsia="zh-CN"/>
        </w:rPr>
        <w:t>。</w:t>
      </w:r>
    </w:p>
    <w:p>
      <w:pPr>
        <w:spacing w:line="600" w:lineRule="exact"/>
        <w:ind w:firstLine="640" w:firstLineChars="200"/>
        <w:outlineLvl w:val="1"/>
        <w:rPr>
          <w:rStyle w:val="30"/>
          <w:rFonts w:ascii="黑体" w:hAnsi="黑体" w:eastAsia="黑体"/>
          <w:b w:val="0"/>
        </w:rPr>
      </w:pPr>
      <w:bookmarkStart w:id="37" w:name="_Toc10089"/>
      <w:bookmarkStart w:id="38" w:name="_Toc15377209"/>
      <w:bookmarkStart w:id="39"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7"/>
      <w:bookmarkEnd w:id="38"/>
      <w:bookmarkEnd w:id="39"/>
    </w:p>
    <w:p>
      <w:pPr>
        <w:spacing w:line="600" w:lineRule="exact"/>
        <w:ind w:firstLine="643" w:firstLineChars="200"/>
        <w:outlineLvl w:val="2"/>
        <w:rPr>
          <w:rFonts w:ascii="仿宋" w:hAnsi="仿宋" w:eastAsia="仿宋"/>
          <w:b/>
          <w:sz w:val="32"/>
          <w:szCs w:val="32"/>
        </w:rPr>
      </w:pPr>
      <w:bookmarkStart w:id="40" w:name="_Toc13743"/>
      <w:bookmarkStart w:id="41" w:name="_Toc15377210"/>
      <w:r>
        <w:rPr>
          <w:rFonts w:hint="eastAsia" w:ascii="仿宋" w:hAnsi="仿宋" w:eastAsia="仿宋"/>
          <w:b/>
          <w:sz w:val="32"/>
          <w:szCs w:val="32"/>
        </w:rPr>
        <w:t>（一）一般公共预算财政拨款支出决算总体情况</w:t>
      </w:r>
      <w:bookmarkEnd w:id="40"/>
      <w:bookmarkEnd w:id="41"/>
    </w:p>
    <w:p>
      <w:pPr>
        <w:pStyle w:val="15"/>
      </w:pPr>
      <w:r>
        <w:rPr>
          <w:rFonts w:ascii="仿宋" w:hAnsi="仿宋" w:eastAsia="仿宋"/>
          <w:sz w:val="32"/>
          <w:szCs w:val="32"/>
        </w:rPr>
        <w:t>20</w:t>
      </w:r>
      <w:r>
        <w:rPr>
          <w:rFonts w:hint="eastAsia" w:ascii="仿宋" w:hAnsi="仿宋" w:eastAsia="仿宋"/>
          <w:sz w:val="32"/>
          <w:szCs w:val="32"/>
        </w:rPr>
        <w:t>22年一般公共预算财政拨款支出468.64万元，占本年支出合计的26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r>
        <w:rPr>
          <w:rFonts w:hint="eastAsia" w:ascii="仿宋" w:hAnsi="仿宋" w:eastAsia="仿宋" w:cs="仿宋"/>
          <w:sz w:val="32"/>
          <w:szCs w:val="32"/>
          <w:lang w:eastAsia="zh-CN"/>
        </w:rPr>
        <w:t>。</w:t>
      </w:r>
    </w:p>
    <w:p>
      <w:pPr>
        <w:spacing w:line="600" w:lineRule="exact"/>
        <w:ind w:firstLine="643" w:firstLineChars="200"/>
        <w:outlineLvl w:val="2"/>
        <w:rPr>
          <w:rFonts w:ascii="仿宋" w:hAnsi="仿宋" w:eastAsia="仿宋"/>
          <w:b/>
          <w:sz w:val="32"/>
          <w:szCs w:val="32"/>
        </w:rPr>
      </w:pPr>
      <w:bookmarkStart w:id="42" w:name="_Toc15377211"/>
      <w:bookmarkStart w:id="43" w:name="_Toc32076"/>
      <w:r>
        <w:rPr>
          <w:rFonts w:hint="eastAsia" w:ascii="仿宋" w:hAnsi="仿宋" w:eastAsia="仿宋"/>
          <w:b/>
          <w:sz w:val="32"/>
          <w:szCs w:val="32"/>
        </w:rPr>
        <w:t>（二）一般公共预算财政拨款支出决算结构情况</w:t>
      </w:r>
      <w:bookmarkEnd w:id="42"/>
      <w:bookmarkEnd w:id="43"/>
    </w:p>
    <w:p>
      <w:pPr>
        <w:spacing w:line="600" w:lineRule="exact"/>
        <w:ind w:firstLine="640"/>
      </w:pPr>
      <w:r>
        <w:rPr>
          <w:rFonts w:ascii="仿宋" w:hAnsi="仿宋" w:eastAsia="仿宋"/>
          <w:sz w:val="32"/>
          <w:szCs w:val="32"/>
        </w:rPr>
        <w:t>20</w:t>
      </w:r>
      <w:r>
        <w:rPr>
          <w:rFonts w:hint="eastAsia" w:ascii="仿宋" w:hAnsi="仿宋" w:eastAsia="仿宋"/>
          <w:sz w:val="32"/>
          <w:szCs w:val="32"/>
        </w:rPr>
        <w:t>22年一般公共预算财政拨款支出468.64万元，主要用于以下方面</w:t>
      </w:r>
      <w:r>
        <w:rPr>
          <w:rFonts w:hint="eastAsia" w:ascii="仿宋" w:hAnsi="仿宋" w:eastAsia="仿宋"/>
          <w:sz w:val="32"/>
          <w:szCs w:val="32"/>
          <w:lang w:eastAsia="zh-CN"/>
        </w:rPr>
        <w:t>：</w:t>
      </w:r>
      <w:r>
        <w:rPr>
          <w:rFonts w:hint="eastAsia" w:ascii="仿宋" w:hAnsi="仿宋" w:eastAsia="仿宋"/>
          <w:sz w:val="32"/>
          <w:szCs w:val="32"/>
          <w:lang w:val="en-US" w:eastAsia="zh-CN"/>
        </w:rPr>
        <w:t>社会</w:t>
      </w:r>
      <w:r>
        <w:rPr>
          <w:rFonts w:hint="eastAsia" w:ascii="仿宋" w:hAnsi="仿宋" w:eastAsia="仿宋"/>
          <w:sz w:val="32"/>
          <w:szCs w:val="32"/>
        </w:rPr>
        <w:t>保障和就业支出39.53万元，占8.4</w:t>
      </w:r>
      <w:r>
        <w:rPr>
          <w:rFonts w:ascii="仿宋" w:hAnsi="仿宋" w:eastAsia="仿宋"/>
          <w:sz w:val="32"/>
          <w:szCs w:val="32"/>
        </w:rPr>
        <w:t>%</w:t>
      </w:r>
      <w:r>
        <w:rPr>
          <w:rFonts w:hint="eastAsia" w:ascii="仿宋" w:hAnsi="仿宋" w:eastAsia="仿宋"/>
          <w:sz w:val="32"/>
          <w:szCs w:val="32"/>
        </w:rPr>
        <w:t>；卫生健康支出4</w:t>
      </w:r>
      <w:r>
        <w:rPr>
          <w:rFonts w:hint="eastAsia" w:ascii="仿宋" w:hAnsi="仿宋" w:eastAsia="仿宋"/>
          <w:sz w:val="32"/>
          <w:szCs w:val="32"/>
          <w:lang w:val="en-US" w:eastAsia="zh-CN"/>
        </w:rPr>
        <w:t>2</w:t>
      </w:r>
      <w:r>
        <w:rPr>
          <w:rFonts w:hint="eastAsia" w:ascii="仿宋" w:hAnsi="仿宋" w:eastAsia="仿宋"/>
          <w:sz w:val="32"/>
          <w:szCs w:val="32"/>
        </w:rPr>
        <w:t>7.12万元，占91.1%；住房保障支出0万元，占0%；农林水支出2万元，占比0.5%。</w:t>
      </w:r>
    </w:p>
    <w:p>
      <w:pPr>
        <w:pStyle w:val="14"/>
        <w:spacing w:before="93"/>
        <w:ind w:firstLine="300"/>
      </w:pPr>
      <w:r>
        <w:drawing>
          <wp:inline distT="0" distB="0" distL="0" distR="0">
            <wp:extent cx="5274310" cy="3076575"/>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44" w:name="_Toc15377212"/>
      <w:bookmarkStart w:id="45" w:name="_Toc27929"/>
      <w:r>
        <w:rPr>
          <w:rFonts w:hint="eastAsia" w:ascii="仿宋" w:hAnsi="仿宋" w:eastAsia="仿宋"/>
          <w:b/>
          <w:sz w:val="32"/>
          <w:szCs w:val="32"/>
        </w:rPr>
        <w:t>（三）一般公共预算财政拨款支出决算具体情况</w:t>
      </w:r>
      <w:bookmarkEnd w:id="44"/>
      <w:bookmarkEnd w:id="45"/>
    </w:p>
    <w:p>
      <w:pPr>
        <w:spacing w:line="600" w:lineRule="exact"/>
        <w:ind w:firstLine="643" w:firstLineChars="200"/>
        <w:outlineLvl w:val="2"/>
        <w:rPr>
          <w:rFonts w:ascii="仿宋" w:hAnsi="仿宋" w:eastAsia="仿宋"/>
          <w:sz w:val="32"/>
          <w:szCs w:val="32"/>
        </w:rPr>
      </w:pPr>
      <w:bookmarkStart w:id="46" w:name="_Toc12278"/>
      <w:bookmarkStart w:id="47" w:name="_Toc15377213"/>
      <w:bookmarkStart w:id="48" w:name="_Toc15378460"/>
      <w:bookmarkStart w:id="49" w:name="_Toc147925368"/>
      <w:bookmarkStart w:id="50" w:name="_Toc15377444"/>
      <w:r>
        <w:rPr>
          <w:rFonts w:hint="eastAsia" w:ascii="仿宋" w:hAnsi="仿宋" w:eastAsia="仿宋"/>
          <w:b/>
          <w:sz w:val="32"/>
          <w:szCs w:val="32"/>
        </w:rPr>
        <w:t>2022年一般公共预算支出决算数为468.64万元，</w:t>
      </w:r>
      <w:r>
        <w:rPr>
          <w:rStyle w:val="18"/>
          <w:rFonts w:hint="eastAsia" w:ascii="仿宋" w:hAnsi="仿宋" w:eastAsia="仿宋"/>
          <w:bCs/>
          <w:sz w:val="32"/>
          <w:szCs w:val="32"/>
        </w:rPr>
        <w:t>完成预算10</w:t>
      </w:r>
      <w:r>
        <w:rPr>
          <w:rStyle w:val="18"/>
          <w:rFonts w:ascii="仿宋" w:hAnsi="仿宋" w:eastAsia="仿宋"/>
          <w:bCs/>
          <w:sz w:val="32"/>
          <w:szCs w:val="32"/>
        </w:rPr>
        <w:t>0%</w:t>
      </w:r>
      <w:r>
        <w:rPr>
          <w:rStyle w:val="18"/>
          <w:rFonts w:hint="eastAsia" w:ascii="仿宋" w:hAnsi="仿宋" w:eastAsia="仿宋"/>
          <w:bCs/>
          <w:sz w:val="32"/>
          <w:szCs w:val="32"/>
        </w:rPr>
        <w:t>。其中：</w:t>
      </w:r>
      <w:bookmarkEnd w:id="46"/>
      <w:bookmarkEnd w:id="47"/>
      <w:bookmarkEnd w:id="48"/>
      <w:bookmarkEnd w:id="49"/>
      <w:bookmarkEnd w:id="50"/>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  机关事业单位基本养老保险缴费支出（项）</w:t>
      </w:r>
      <w:r>
        <w:rPr>
          <w:rStyle w:val="18"/>
          <w:rFonts w:ascii="仿宋" w:hAnsi="仿宋" w:eastAsia="仿宋"/>
          <w:bCs/>
          <w:sz w:val="32"/>
          <w:szCs w:val="32"/>
        </w:rPr>
        <w:t>:</w:t>
      </w:r>
      <w:r>
        <w:rPr>
          <w:rStyle w:val="18"/>
          <w:rFonts w:hint="eastAsia" w:ascii="仿宋" w:hAnsi="仿宋" w:eastAsia="仿宋"/>
          <w:b w:val="0"/>
          <w:bCs/>
          <w:sz w:val="32"/>
          <w:szCs w:val="32"/>
        </w:rPr>
        <w:t>支出决算为39.53万元，完成预算100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（类）基层医疗卫生机构（款）乡镇卫生院（项）</w:t>
      </w:r>
      <w:r>
        <w:rPr>
          <w:rStyle w:val="18"/>
          <w:rFonts w:ascii="仿宋" w:hAnsi="仿宋" w:eastAsia="仿宋"/>
          <w:bCs/>
          <w:sz w:val="32"/>
          <w:szCs w:val="32"/>
        </w:rPr>
        <w:t>:</w:t>
      </w:r>
      <w:r>
        <w:rPr>
          <w:rStyle w:val="18"/>
          <w:rFonts w:hint="eastAsia" w:ascii="仿宋" w:hAnsi="仿宋" w:eastAsia="仿宋"/>
          <w:b w:val="0"/>
          <w:bCs/>
          <w:sz w:val="32"/>
          <w:szCs w:val="32"/>
        </w:rPr>
        <w:t>支出决算为282.24万元，完成预算100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 xml:space="preserve"> 3</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（类）基层医疗卫生机构（款</w:t>
      </w:r>
      <w:r>
        <w:rPr>
          <w:rStyle w:val="18"/>
          <w:rFonts w:hint="eastAsia" w:ascii="仿宋" w:hAnsi="仿宋" w:eastAsia="仿宋"/>
          <w:bCs/>
          <w:sz w:val="32"/>
          <w:szCs w:val="32"/>
          <w:lang w:eastAsia="zh-CN"/>
        </w:rPr>
        <w:t>）</w:t>
      </w:r>
      <w:r>
        <w:rPr>
          <w:rStyle w:val="18"/>
          <w:rFonts w:hint="eastAsia" w:ascii="仿宋" w:hAnsi="仿宋" w:eastAsia="仿宋"/>
          <w:bCs/>
          <w:sz w:val="32"/>
          <w:szCs w:val="32"/>
        </w:rPr>
        <w:t>其他基层医疗卫生机构支出（项）</w:t>
      </w:r>
      <w:r>
        <w:rPr>
          <w:rStyle w:val="18"/>
          <w:rFonts w:ascii="仿宋" w:hAnsi="仿宋" w:eastAsia="仿宋"/>
          <w:bCs/>
          <w:sz w:val="32"/>
          <w:szCs w:val="32"/>
        </w:rPr>
        <w:t>:</w:t>
      </w:r>
      <w:r>
        <w:rPr>
          <w:rStyle w:val="18"/>
          <w:rFonts w:hint="eastAsia" w:ascii="仿宋" w:hAnsi="仿宋" w:eastAsia="仿宋"/>
          <w:b w:val="0"/>
          <w:bCs/>
          <w:sz w:val="32"/>
          <w:szCs w:val="32"/>
        </w:rPr>
        <w:t>支出决算为15.79万元，完成预算100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 xml:space="preserve">。 </w:t>
      </w:r>
    </w:p>
    <w:p>
      <w:pPr>
        <w:pStyle w:val="15"/>
        <w:ind w:left="0" w:leftChars="0" w:firstLine="630" w:firstLineChars="196"/>
        <w:rPr>
          <w:rStyle w:val="18"/>
          <w:rFonts w:ascii="仿宋" w:hAnsi="仿宋" w:eastAsia="仿宋"/>
          <w:b w:val="0"/>
          <w:bCs/>
          <w:sz w:val="32"/>
          <w:szCs w:val="32"/>
        </w:rPr>
      </w:pPr>
      <w:r>
        <w:rPr>
          <w:rStyle w:val="18"/>
          <w:rFonts w:hint="eastAsia" w:ascii="仿宋" w:hAnsi="仿宋" w:eastAsia="仿宋"/>
          <w:bCs/>
          <w:sz w:val="32"/>
          <w:szCs w:val="32"/>
        </w:rPr>
        <w:t>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（类）公共卫生（款）基本公共卫生服务（项）：</w:t>
      </w:r>
      <w:r>
        <w:rPr>
          <w:rStyle w:val="18"/>
          <w:rFonts w:hint="eastAsia" w:ascii="仿宋" w:hAnsi="仿宋" w:eastAsia="仿宋"/>
          <w:b w:val="0"/>
          <w:bCs/>
          <w:sz w:val="32"/>
          <w:szCs w:val="32"/>
        </w:rPr>
        <w:t>支出决算为86.22万元，完成预算100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4"/>
        <w:spacing w:before="93"/>
        <w:ind w:firstLine="639" w:firstLineChars="199"/>
        <w:rPr>
          <w:rStyle w:val="18"/>
          <w:rFonts w:ascii="仿宋" w:hAnsi="仿宋" w:eastAsia="仿宋"/>
          <w:b w:val="0"/>
          <w:bCs/>
          <w:sz w:val="32"/>
          <w:szCs w:val="32"/>
        </w:rPr>
      </w:pPr>
      <w:r>
        <w:rPr>
          <w:rStyle w:val="18"/>
          <w:rFonts w:hint="eastAsia" w:ascii="仿宋" w:hAnsi="仿宋" w:eastAsia="仿宋"/>
          <w:bCs/>
          <w:sz w:val="32"/>
          <w:szCs w:val="32"/>
        </w:rPr>
        <w:t>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（类）公共卫生（款）重大公共卫生服务（项）：</w:t>
      </w:r>
      <w:r>
        <w:rPr>
          <w:rStyle w:val="18"/>
          <w:rFonts w:hint="eastAsia" w:ascii="仿宋" w:hAnsi="仿宋" w:eastAsia="仿宋"/>
          <w:b w:val="0"/>
          <w:bCs/>
          <w:sz w:val="32"/>
          <w:szCs w:val="32"/>
        </w:rPr>
        <w:t>支出决算为23.1万元，完成预算100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4"/>
        <w:spacing w:before="93"/>
        <w:ind w:firstLine="597" w:firstLineChars="199"/>
        <w:rPr>
          <w:rStyle w:val="18"/>
          <w:rFonts w:ascii="仿宋" w:hAnsi="仿宋" w:eastAsia="仿宋"/>
          <w:b w:val="0"/>
          <w:bCs/>
          <w:sz w:val="32"/>
          <w:szCs w:val="32"/>
        </w:rPr>
      </w:pPr>
      <w:r>
        <w:rPr>
          <w:rFonts w:hint="eastAsia"/>
        </w:rPr>
        <w:t xml:space="preserve"> </w:t>
      </w:r>
      <w:r>
        <w:rPr>
          <w:rStyle w:val="18"/>
          <w:rFonts w:hint="eastAsia" w:ascii="仿宋" w:hAnsi="仿宋" w:eastAsia="仿宋"/>
          <w:bCs/>
          <w:sz w:val="32"/>
          <w:szCs w:val="32"/>
        </w:rPr>
        <w:t>6</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 事业单位医疗（项）：</w:t>
      </w:r>
      <w:r>
        <w:rPr>
          <w:rStyle w:val="18"/>
          <w:rFonts w:hint="eastAsia" w:ascii="仿宋" w:hAnsi="仿宋" w:eastAsia="仿宋"/>
          <w:b w:val="0"/>
          <w:bCs/>
          <w:sz w:val="32"/>
          <w:szCs w:val="32"/>
        </w:rPr>
        <w:t>支出决算为19.76万元，完成预算100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14"/>
        <w:spacing w:before="93"/>
        <w:ind w:firstLine="639" w:firstLineChars="199"/>
        <w:rPr>
          <w:rFonts w:ascii="仿宋" w:hAnsi="仿宋" w:eastAsia="仿宋"/>
          <w:b/>
          <w:sz w:val="32"/>
          <w:szCs w:val="32"/>
        </w:rPr>
      </w:pPr>
      <w:r>
        <w:rPr>
          <w:rStyle w:val="18"/>
          <w:rFonts w:hint="eastAsia" w:ascii="仿宋" w:hAnsi="仿宋" w:eastAsia="仿宋"/>
          <w:bCs/>
          <w:sz w:val="32"/>
          <w:szCs w:val="32"/>
        </w:rPr>
        <w:t>7</w:t>
      </w:r>
      <w:r>
        <w:rPr>
          <w:rStyle w:val="18"/>
          <w:rFonts w:ascii="仿宋" w:hAnsi="仿宋" w:eastAsia="仿宋"/>
          <w:bCs/>
          <w:sz w:val="32"/>
          <w:szCs w:val="32"/>
        </w:rPr>
        <w:t>.</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（类）巩固脱贫衔接乡村振兴（款）  社会发展（项）：</w:t>
      </w:r>
      <w:r>
        <w:rPr>
          <w:rStyle w:val="18"/>
          <w:rFonts w:hint="eastAsia" w:ascii="仿宋" w:hAnsi="仿宋" w:eastAsia="仿宋"/>
          <w:b w:val="0"/>
          <w:bCs/>
          <w:sz w:val="32"/>
          <w:szCs w:val="32"/>
        </w:rPr>
        <w:t>支出决算为2万元，完成预算100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30"/>
        </w:rPr>
      </w:pPr>
      <w:bookmarkStart w:id="51" w:name="_Toc15377214"/>
      <w:bookmarkStart w:id="52" w:name="_Toc15396608"/>
      <w:bookmarkStart w:id="53" w:name="_Toc1587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1"/>
      <w:bookmarkEnd w:id="52"/>
      <w:bookmarkEnd w:id="53"/>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22年一般公共预算财政拨款基本支出468.64万元，其中：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人员经费346.33万元，主要包括：基本工资、津贴补贴、绩效工资、机关事业单位基本养老保险缴费、职工基本医疗保险缴费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其他社会保障缴费、其他工资福利支出、生活补助、对个人和家庭的补助支出等。</w:t>
      </w:r>
      <w:r>
        <w:rPr>
          <w:rFonts w:ascii="仿宋" w:hAnsi="仿宋" w:eastAsia="仿宋"/>
          <w:sz w:val="32"/>
          <w:szCs w:val="32"/>
        </w:rPr>
        <w:br w:type="textWrapping"/>
      </w:r>
      <w:r>
        <w:rPr>
          <w:rFonts w:hint="eastAsia" w:ascii="仿宋" w:hAnsi="仿宋" w:eastAsia="仿宋"/>
          <w:sz w:val="32"/>
          <w:szCs w:val="32"/>
        </w:rPr>
        <w:t>　　公用经费97.22万元，主要包括：水费、电费、培训费、公务接待费、</w:t>
      </w:r>
      <w:r>
        <w:rPr>
          <w:rFonts w:hint="eastAsia" w:ascii="仿宋" w:hAnsi="仿宋" w:eastAsia="仿宋"/>
          <w:sz w:val="32"/>
          <w:szCs w:val="32"/>
          <w:lang w:eastAsia="zh-CN"/>
        </w:rPr>
        <w:t>专用材料费、</w:t>
      </w:r>
      <w:r>
        <w:rPr>
          <w:rFonts w:hint="eastAsia" w:ascii="仿宋" w:hAnsi="仿宋" w:eastAsia="仿宋"/>
          <w:sz w:val="32"/>
          <w:szCs w:val="32"/>
        </w:rPr>
        <w:t>工会经费、</w:t>
      </w:r>
      <w:r>
        <w:rPr>
          <w:rFonts w:hint="eastAsia" w:ascii="仿宋" w:hAnsi="仿宋" w:eastAsia="仿宋"/>
          <w:sz w:val="32"/>
          <w:szCs w:val="32"/>
          <w:lang w:eastAsia="zh-CN"/>
        </w:rPr>
        <w:t>其他商品和服务支出</w:t>
      </w:r>
      <w:r>
        <w:rPr>
          <w:rFonts w:hint="eastAsia" w:ascii="仿宋" w:hAnsi="仿宋" w:eastAsia="仿宋"/>
          <w:sz w:val="32"/>
          <w:szCs w:val="32"/>
        </w:rPr>
        <w:t>等。</w:t>
      </w:r>
    </w:p>
    <w:p>
      <w:pPr>
        <w:spacing w:line="600" w:lineRule="exact"/>
        <w:ind w:firstLine="640"/>
        <w:outlineLvl w:val="1"/>
        <w:rPr>
          <w:rStyle w:val="30"/>
          <w:rFonts w:ascii="黑体" w:hAnsi="黑体" w:eastAsia="黑体"/>
          <w:b w:val="0"/>
        </w:rPr>
      </w:pPr>
      <w:bookmarkStart w:id="54" w:name="_Toc15377215"/>
      <w:bookmarkStart w:id="55" w:name="_Toc15396609"/>
      <w:bookmarkStart w:id="56" w:name="_Toc10153"/>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15377216"/>
      <w:bookmarkStart w:id="58" w:name="_Toc10308"/>
      <w:r>
        <w:rPr>
          <w:rFonts w:hint="eastAsia" w:ascii="仿宋" w:hAnsi="仿宋" w:eastAsia="仿宋"/>
          <w:b/>
          <w:sz w:val="32"/>
          <w:szCs w:val="32"/>
        </w:rPr>
        <w:t>（一）“三公”经费财政拨款支出决算总体情况说明</w:t>
      </w:r>
      <w:bookmarkEnd w:id="57"/>
      <w:bookmarkEnd w:id="58"/>
    </w:p>
    <w:p>
      <w:pPr>
        <w:pStyle w:val="15"/>
      </w:pPr>
      <w:r>
        <w:rPr>
          <w:rFonts w:ascii="仿宋" w:hAnsi="仿宋" w:eastAsia="仿宋"/>
          <w:sz w:val="32"/>
          <w:szCs w:val="32"/>
        </w:rPr>
        <w:t>20</w:t>
      </w:r>
      <w:r>
        <w:rPr>
          <w:rFonts w:hint="eastAsia" w:ascii="仿宋" w:hAnsi="仿宋" w:eastAsia="仿宋"/>
          <w:sz w:val="32"/>
          <w:szCs w:val="32"/>
        </w:rPr>
        <w:t>22年“三公”经费财政拨款支出决算为0.81万元，完成预算84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r>
        <w:rPr>
          <w:rFonts w:hint="eastAsia" w:ascii="仿宋" w:hAnsi="仿宋" w:eastAsia="仿宋" w:cs="仿宋"/>
          <w:sz w:val="32"/>
          <w:szCs w:val="32"/>
          <w:lang w:eastAsia="zh-CN"/>
        </w:rPr>
        <w:t>。</w:t>
      </w:r>
    </w:p>
    <w:p>
      <w:pPr>
        <w:spacing w:line="600" w:lineRule="exact"/>
        <w:ind w:firstLine="643" w:firstLineChars="200"/>
        <w:outlineLvl w:val="2"/>
        <w:rPr>
          <w:rFonts w:ascii="仿宋" w:hAnsi="仿宋" w:eastAsia="仿宋"/>
          <w:b/>
          <w:sz w:val="32"/>
          <w:szCs w:val="32"/>
        </w:rPr>
      </w:pPr>
      <w:bookmarkStart w:id="59" w:name="_Toc15377217"/>
      <w:bookmarkStart w:id="60" w:name="_Toc17130"/>
      <w:r>
        <w:rPr>
          <w:rFonts w:hint="eastAsia" w:ascii="仿宋" w:hAnsi="仿宋" w:eastAsia="仿宋"/>
          <w:b/>
          <w:sz w:val="32"/>
          <w:szCs w:val="32"/>
        </w:rPr>
        <w:t>（二）“三公”经费财政拨款支出决算具体情况说明</w:t>
      </w:r>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；公务接待费支出决算0.81万元，占100</w:t>
      </w:r>
      <w:r>
        <w:rPr>
          <w:rFonts w:ascii="仿宋" w:hAnsi="仿宋" w:eastAsia="仿宋"/>
          <w:sz w:val="32"/>
          <w:szCs w:val="32"/>
        </w:rPr>
        <w:t>%</w:t>
      </w:r>
      <w:r>
        <w:rPr>
          <w:rFonts w:hint="eastAsia" w:ascii="仿宋" w:hAnsi="仿宋" w:eastAsia="仿宋"/>
          <w:sz w:val="32"/>
          <w:szCs w:val="32"/>
        </w:rPr>
        <w:t>。具体情况如下：</w:t>
      </w:r>
    </w:p>
    <w:p>
      <w:pPr>
        <w:pStyle w:val="14"/>
        <w:spacing w:before="93"/>
        <w:ind w:firstLine="300"/>
      </w:pPr>
      <w: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。主要原因是无。</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开支内容包括：无（团组名称、出访地点、取得成效）等。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。主要原因是无。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0万元。主要用于所需的公务用车燃料费、维修费、过路过桥费、保险费等支出。</w:t>
      </w:r>
    </w:p>
    <w:p>
      <w:pPr>
        <w:pStyle w:val="15"/>
        <w:ind w:left="0" w:leftChars="0"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0.81万元，</w:t>
      </w:r>
      <w:r>
        <w:rPr>
          <w:rStyle w:val="18"/>
          <w:rFonts w:hint="eastAsia" w:ascii="仿宋" w:hAnsi="仿宋" w:eastAsia="仿宋"/>
          <w:b w:val="0"/>
          <w:bCs/>
          <w:sz w:val="32"/>
          <w:szCs w:val="32"/>
        </w:rPr>
        <w:t>完成预算84</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 w:hAnsi="仿宋" w:eastAsia="仿宋" w:cs="仿宋"/>
          <w:sz w:val="32"/>
          <w:szCs w:val="32"/>
        </w:rPr>
        <w:t>2021年本单位未单独填报决算，由系统统一填报部门决算，故无法对比</w:t>
      </w:r>
      <w:r>
        <w:rPr>
          <w:rFonts w:hint="eastAsia" w:ascii="仿宋" w:hAnsi="仿宋" w:eastAsia="仿宋" w:cs="仿宋"/>
          <w:sz w:val="32"/>
          <w:szCs w:val="32"/>
          <w:lang w:eastAsia="zh-CN"/>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0.81</w:t>
      </w:r>
      <w:r>
        <w:rPr>
          <w:rFonts w:hint="eastAsia" w:ascii="仿宋_GB2312" w:eastAsia="仿宋_GB2312"/>
          <w:sz w:val="32"/>
          <w:szCs w:val="32"/>
        </w:rPr>
        <w:t>万元，主要用于执行公务的交通费、用餐。国内公务接待20批次，160人次（不包括陪同人员），共计支出0.81万元</w:t>
      </w:r>
      <w:r>
        <w:rPr>
          <w:rFonts w:hint="eastAsia" w:ascii="仿宋_GB2312" w:eastAsia="仿宋_GB2312"/>
          <w:sz w:val="32"/>
          <w:szCs w:val="32"/>
          <w:lang w:eastAsia="zh-CN"/>
        </w:rPr>
        <w:t>。</w:t>
      </w:r>
      <w:r>
        <w:rPr>
          <w:rFonts w:ascii="仿宋_GB2312" w:eastAsia="仿宋_GB2312"/>
          <w:sz w:val="32"/>
          <w:szCs w:val="32"/>
        </w:rPr>
        <w:t xml:space="preserve"> </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万元，主要用于接待</w:t>
      </w:r>
      <w:r>
        <w:rPr>
          <w:rFonts w:ascii="仿宋_GB2312" w:eastAsia="仿宋_GB2312"/>
          <w:sz w:val="32"/>
          <w:szCs w:val="32"/>
        </w:rPr>
        <w:t>无</w:t>
      </w:r>
      <w:r>
        <w:rPr>
          <w:rFonts w:hint="eastAsia" w:ascii="仿宋_GB2312" w:eastAsia="仿宋_GB2312"/>
          <w:sz w:val="32"/>
          <w:szCs w:val="32"/>
        </w:rPr>
        <w:t>。外事接待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bookmarkStart w:id="61" w:name="_Toc15396610"/>
      <w:bookmarkStart w:id="62" w:name="_Toc15377218"/>
    </w:p>
    <w:p>
      <w:pPr>
        <w:spacing w:line="600" w:lineRule="exact"/>
        <w:ind w:firstLine="640"/>
        <w:outlineLvl w:val="1"/>
        <w:rPr>
          <w:rStyle w:val="30"/>
          <w:rFonts w:ascii="黑体" w:hAnsi="黑体" w:eastAsia="黑体"/>
        </w:rPr>
      </w:pPr>
      <w:bookmarkStart w:id="63" w:name="_Toc24072"/>
      <w:r>
        <w:rPr>
          <w:rFonts w:hint="eastAsia" w:ascii="黑体" w:eastAsia="黑体"/>
          <w:sz w:val="32"/>
          <w:szCs w:val="32"/>
        </w:rPr>
        <w:t>八、</w:t>
      </w:r>
      <w:r>
        <w:rPr>
          <w:rStyle w:val="30"/>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30"/>
          <w:rFonts w:ascii="黑体" w:hAnsi="黑体" w:eastAsia="黑体"/>
          <w:b w:val="0"/>
        </w:rPr>
      </w:pPr>
      <w:bookmarkStart w:id="64" w:name="_Toc15396611"/>
      <w:bookmarkStart w:id="65" w:name="_Toc18989"/>
      <w:bookmarkStart w:id="66" w:name="_Toc15377219"/>
      <w:r>
        <w:rPr>
          <w:rStyle w:val="30"/>
          <w:rFonts w:hint="eastAsia" w:ascii="黑体" w:hAnsi="黑体" w:eastAsia="黑体"/>
          <w:b w:val="0"/>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30"/>
          <w:rFonts w:ascii="黑体" w:hAnsi="黑体" w:eastAsia="黑体"/>
          <w:b w:val="0"/>
        </w:rPr>
      </w:pPr>
      <w:bookmarkStart w:id="67" w:name="_Toc15377221"/>
      <w:bookmarkStart w:id="68" w:name="_Toc15396612"/>
      <w:bookmarkStart w:id="69" w:name="_Toc4398"/>
      <w:r>
        <w:rPr>
          <w:rStyle w:val="30"/>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3596"/>
      <w:bookmarkStart w:id="71" w:name="_Toc15377222"/>
      <w:r>
        <w:rPr>
          <w:rFonts w:hint="eastAsia" w:ascii="仿宋" w:hAnsi="仿宋" w:eastAsia="仿宋"/>
          <w:b/>
          <w:sz w:val="32"/>
          <w:szCs w:val="32"/>
        </w:rPr>
        <w:t>（一）机关运行经费支出情况</w:t>
      </w:r>
      <w:bookmarkEnd w:id="70"/>
      <w:bookmarkEnd w:id="7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22年，剑阁县鹤龄镇中心卫生院机关运行经费支出0万元，</w:t>
      </w:r>
      <w:r>
        <w:rPr>
          <w:rFonts w:hint="eastAsia" w:ascii="仿宋_GB2312" w:eastAsia="仿宋_GB2312"/>
          <w:sz w:val="32"/>
          <w:szCs w:val="32"/>
          <w:lang w:val="en-US" w:eastAsia="zh-CN"/>
        </w:rPr>
        <w:t>本单位属于事业单位，无机关运行经费支出。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3"/>
      <w:bookmarkStart w:id="73" w:name="_Toc1341"/>
      <w:r>
        <w:rPr>
          <w:rFonts w:hint="eastAsia" w:ascii="仿宋" w:hAnsi="仿宋" w:eastAsia="仿宋"/>
          <w:b/>
          <w:sz w:val="32"/>
          <w:szCs w:val="32"/>
        </w:rPr>
        <w:t>（二）政府采购支出情况</w:t>
      </w:r>
      <w:bookmarkEnd w:id="72"/>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22年，剑阁县鹤龄镇中心卫生院政府采购支出总额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无政府采购，</w:t>
      </w:r>
      <w:r>
        <w:rPr>
          <w:rFonts w:hint="eastAsia" w:ascii="仿宋_GB2312" w:eastAsia="仿宋_GB2312"/>
          <w:sz w:val="32"/>
          <w:szCs w:val="32"/>
        </w:rPr>
        <w:t>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27646"/>
      <w:bookmarkStart w:id="75" w:name="_Toc15377224"/>
      <w:r>
        <w:rPr>
          <w:rFonts w:hint="eastAsia" w:ascii="仿宋" w:hAnsi="仿宋" w:eastAsia="仿宋"/>
          <w:b/>
          <w:sz w:val="32"/>
          <w:szCs w:val="32"/>
        </w:rPr>
        <w:t>（三）国有资产占有使用情况</w:t>
      </w:r>
      <w:bookmarkEnd w:id="74"/>
      <w:bookmarkEnd w:id="7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剑阁县鹤龄镇中心卫生院</w:t>
      </w:r>
      <w:r>
        <w:rPr>
          <w:rFonts w:hint="eastAsia" w:ascii="仿宋_GB2312" w:eastAsia="仿宋_GB2312"/>
          <w:sz w:val="32"/>
          <w:szCs w:val="32"/>
        </w:rPr>
        <w:t>共有车辆1辆，其中：主要领导干部用车0辆、机要通信用车0辆、应急保障用车0辆、其他用车1辆，其他用车主要是用于救治病人。单价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6" w:name="_Toc20914"/>
      <w:r>
        <w:rPr>
          <w:rFonts w:hint="eastAsia" w:ascii="仿宋" w:hAnsi="仿宋" w:eastAsia="仿宋"/>
          <w:b/>
          <w:sz w:val="32"/>
          <w:szCs w:val="32"/>
        </w:rPr>
        <w:t>（四）预算绩效管理情况</w:t>
      </w:r>
      <w:bookmarkEnd w:id="76"/>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根据预算绩效管理要求，本单位在2022年度预算编制阶段，组织对常态化核酸、院对院结对帮扶项目等</w:t>
      </w:r>
      <w:r>
        <w:rPr>
          <w:rFonts w:hint="eastAsia" w:hAnsi="仿宋_GB2312" w:cs="仿宋_GB2312"/>
          <w:sz w:val="32"/>
          <w:szCs w:val="32"/>
          <w:lang w:val="en-US" w:eastAsia="zh-CN"/>
        </w:rPr>
        <w:t>2</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77" w:name="_Toc5601"/>
      <w:bookmarkStart w:id="78" w:name="_Toc15377225"/>
      <w:bookmarkStart w:id="79" w:name="_Toc15396613"/>
      <w:r>
        <w:rPr>
          <w:rFonts w:hint="eastAsia" w:ascii="黑体" w:hAnsi="黑体" w:eastAsia="黑体"/>
          <w:sz w:val="44"/>
          <w:szCs w:val="44"/>
        </w:rPr>
        <w:t>名</w:t>
      </w:r>
      <w:r>
        <w:rPr>
          <w:rStyle w:val="29"/>
          <w:rFonts w:hint="eastAsia" w:ascii="黑体" w:hAnsi="黑体" w:eastAsia="黑体"/>
          <w:b w:val="0"/>
        </w:rPr>
        <w:t>词解释</w:t>
      </w:r>
      <w:bookmarkEnd w:id="77"/>
      <w:bookmarkEnd w:id="78"/>
      <w:bookmarkEnd w:id="79"/>
    </w:p>
    <w:p>
      <w:pPr>
        <w:spacing w:line="600" w:lineRule="exact"/>
        <w:jc w:val="left"/>
        <w:rPr>
          <w:rFonts w:ascii="宋体"/>
          <w:b/>
          <w:sz w:val="44"/>
          <w:szCs w:val="44"/>
        </w:rPr>
      </w:pPr>
    </w:p>
    <w:p>
      <w:pPr>
        <w:numPr>
          <w:ilvl w:val="0"/>
          <w:numId w:val="5"/>
        </w:numPr>
        <w:spacing w:line="600" w:lineRule="exact"/>
        <w:jc w:val="left"/>
        <w:outlineLvl w:val="0"/>
        <w:rPr>
          <w:rFonts w:ascii="宋体" w:hAnsi="宋体" w:eastAsia="宋体" w:cs="宋体"/>
          <w:sz w:val="24"/>
          <w:szCs w:val="24"/>
        </w:rPr>
      </w:pPr>
      <w:bookmarkStart w:id="80" w:name="_Toc15377226"/>
      <w:r>
        <w:rPr>
          <w:rFonts w:hint="eastAsia" w:ascii="仿宋" w:hAnsi="仿宋" w:eastAsia="仿宋" w:cs="仿宋"/>
          <w:sz w:val="32"/>
          <w:szCs w:val="32"/>
        </w:rPr>
        <w:t>财政拨款收入：指单位从同级财政部门取得的财政预算资金。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事业收入：指事业单位开展专业业务活动及辅助活动取得的收入。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其他收入：指单位取得的除上述收入以外的各项收入。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社会保障和就业（类）行政事业单位养老支出（款）机关事业单位基本养老保险缴费支出（项）: 指部门实施养老保险制度由单位缴纳的养老保险费的支出。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卫生健康支出（类）基层医疗卫生机构（款）乡镇卫生院（项）:反映用于乡镇卫生院的支出。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卫生健康支出（类）基层医疗卫生机构（款）其他基层医疗卫生机构支出（项）:反映除上述项目以外的其他用于基层医疗卫生机构的支出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卫生健康支出（类）公共卫生（款）基本公共卫生服务（项）:反映基本公共卫生服务支出。</w:t>
      </w:r>
    </w:p>
    <w:p>
      <w:pPr>
        <w:numPr>
          <w:ilvl w:val="0"/>
          <w:numId w:val="5"/>
        </w:num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卫生健康支出（类）公共卫生（款）重大公共卫生服务（项）:反映重大疾病、重大传染病预防控制等重大公共卫生服务项目支出。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卫生健康支出（类）行政事业单位医疗（款）事业单位医疗（项）:指事业单位用于缴纳单位基本医疗保险支出。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卫生健康支出（类）其他卫生健康支出（款）其他卫生健康支出（项）:反映除上述项目以外其他用于卫生健康方面的支出。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农林水支出（类）巩固脱贫衔接乡村振兴（款）社会发展（项）:反映用于农村欠发达地区中小学教育、文化、广播、电视、卫生健康等方面的项目支出。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住房保障支出（类）住房改革支出（款）住房公积金（项）:反映行政事业单位按人力资源和社会保障部、财政部规定的基本工资和津贴补贴以及规定比例为职工缴纳的住房公积金。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基本支出：指为保障机构正常运转、完成日常工作任务而发生的人员支出和公用支出。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项目支出：指在基本支出之外为完成特定行政任务和事业发展目标所发生的支出。 </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240" w:lineRule="auto"/>
        <w:ind w:firstLine="0" w:firstLineChars="0"/>
        <w:jc w:val="center"/>
        <w:outlineLvl w:val="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  </w:t>
      </w:r>
      <w:bookmarkStart w:id="81" w:name="_Toc15396614"/>
    </w:p>
    <w:p>
      <w:pPr>
        <w:spacing w:line="240" w:lineRule="auto"/>
        <w:ind w:firstLine="0" w:firstLineChars="0"/>
        <w:jc w:val="both"/>
        <w:outlineLvl w:val="0"/>
        <w:rPr>
          <w:rFonts w:hint="eastAsia" w:ascii="仿宋_GB2312" w:hAnsi="Calibri" w:eastAsia="仿宋_GB2312" w:cs="仿宋"/>
          <w:color w:val="auto"/>
          <w:kern w:val="0"/>
          <w:sz w:val="32"/>
          <w:szCs w:val="32"/>
          <w:lang w:val="en-US" w:eastAsia="zh-CN" w:bidi="ar-SA"/>
        </w:rPr>
      </w:pPr>
    </w:p>
    <w:p>
      <w:pPr>
        <w:spacing w:line="240" w:lineRule="auto"/>
        <w:ind w:firstLine="0" w:firstLineChars="0"/>
        <w:jc w:val="center"/>
        <w:outlineLvl w:val="0"/>
        <w:rPr>
          <w:rFonts w:hint="eastAsia" w:ascii="仿宋_GB2312" w:hAnsi="Calibri" w:eastAsia="仿宋_GB2312" w:cs="仿宋"/>
          <w:color w:val="auto"/>
          <w:kern w:val="0"/>
          <w:sz w:val="32"/>
          <w:szCs w:val="32"/>
          <w:lang w:val="en-US" w:eastAsia="zh-CN" w:bidi="ar-SA"/>
        </w:rPr>
      </w:pPr>
    </w:p>
    <w:p>
      <w:pPr>
        <w:spacing w:line="240" w:lineRule="auto"/>
        <w:ind w:firstLine="0" w:firstLineChars="0"/>
        <w:jc w:val="center"/>
        <w:outlineLvl w:val="0"/>
        <w:rPr>
          <w:rFonts w:hint="eastAsia" w:ascii="黑体" w:hAnsi="黑体" w:eastAsia="黑体"/>
          <w:highlight w:val="none"/>
          <w:lang w:val="en-US" w:eastAsia="zh-CN"/>
        </w:rPr>
      </w:pPr>
      <w:bookmarkStart w:id="82" w:name="_Toc24546"/>
      <w:r>
        <w:rPr>
          <w:rFonts w:hint="eastAsia" w:ascii="黑体" w:hAnsi="黑体" w:eastAsia="黑体"/>
          <w:sz w:val="44"/>
          <w:szCs w:val="44"/>
        </w:rPr>
        <w:t>第</w:t>
      </w:r>
      <w:r>
        <w:rPr>
          <w:rStyle w:val="29"/>
          <w:rFonts w:hint="eastAsia" w:ascii="黑体" w:hAnsi="黑体" w:eastAsia="黑体"/>
          <w:b w:val="0"/>
        </w:rPr>
        <w:t>四部分 附件</w:t>
      </w:r>
      <w:bookmarkEnd w:id="81"/>
      <w:bookmarkEnd w:id="82"/>
      <w:bookmarkStart w:id="83" w:name="_Toc15396618"/>
    </w:p>
    <w:p>
      <w:pPr>
        <w:pStyle w:val="51"/>
        <w:keepNext w:val="0"/>
        <w:keepLines w:val="0"/>
        <w:pageBreakBefore w:val="0"/>
        <w:widowControl w:val="0"/>
        <w:kinsoku/>
        <w:wordWrap/>
        <w:overflowPunct/>
        <w:topLinePunct w:val="0"/>
        <w:autoSpaceDE/>
        <w:autoSpaceDN/>
        <w:bidi w:val="0"/>
        <w:spacing w:line="578" w:lineRule="exact"/>
        <w:jc w:val="center"/>
        <w:textAlignment w:val="auto"/>
        <w:rPr>
          <w:rFonts w:hint="default" w:ascii="宋体" w:hAnsi="宋体"/>
          <w:color w:val="auto"/>
          <w:kern w:val="2"/>
          <w:sz w:val="32"/>
          <w:szCs w:val="32"/>
          <w:highlight w:val="none"/>
          <w:lang w:val="en-US"/>
        </w:rPr>
      </w:pPr>
      <w:r>
        <w:rPr>
          <w:rFonts w:hint="eastAsia" w:ascii="方正小标宋简体" w:hAnsi="方正小标宋简体" w:eastAsia="方正小标宋简体" w:cs="方正小标宋简体"/>
          <w:color w:val="auto"/>
          <w:kern w:val="2"/>
          <w:sz w:val="40"/>
          <w:szCs w:val="40"/>
          <w:highlight w:val="none"/>
          <w:lang w:val="en-US" w:eastAsia="zh-CN"/>
        </w:rPr>
        <w:t>2022年决算预算项目绩效自评报告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lang w:val="zh-CN" w:eastAsia="zh-CN"/>
        </w:rPr>
      </w:pPr>
      <w:r>
        <w:rPr>
          <w:rFonts w:hint="eastAsia" w:ascii="黑体" w:hAnsi="宋体" w:eastAsia="黑体" w:cs="Times New Roman"/>
          <w:sz w:val="36"/>
          <w:szCs w:val="44"/>
          <w:highlight w:val="none"/>
        </w:rPr>
        <w:t>一、</w:t>
      </w:r>
      <w:r>
        <w:rPr>
          <w:rFonts w:hint="eastAsia" w:ascii="黑体" w:hAnsi="宋体" w:eastAsia="黑体" w:cs="Times New Roman"/>
          <w:sz w:val="36"/>
          <w:szCs w:val="44"/>
          <w:highlight w:val="none"/>
          <w:lang w:val="zh-CN"/>
        </w:rPr>
        <w:t>项目概况</w:t>
      </w:r>
      <w:r>
        <w:rPr>
          <w:rFonts w:hint="eastAsia" w:ascii="黑体" w:hAnsi="宋体" w:eastAsia="黑体" w:cs="Times New Roman"/>
          <w:sz w:val="36"/>
          <w:szCs w:val="44"/>
          <w:highlight w:val="none"/>
          <w:lang w:val="zh-CN" w:eastAsia="zh-CN"/>
        </w:rPr>
        <w:t xml:space="preserve"> </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剑阁县鹤龄镇中心卫生院“院对院”结对帮扶，提升基层医疗卫生机构服务能力。重点说明以下内容：</w:t>
      </w:r>
    </w:p>
    <w:p>
      <w:pPr>
        <w:numPr>
          <w:ilvl w:val="0"/>
          <w:numId w:val="0"/>
        </w:numPr>
        <w:ind w:firstLine="643" w:firstLineChars="200"/>
        <w:rPr>
          <w:rFonts w:hint="eastAsia"/>
          <w:b/>
          <w:bCs/>
          <w:sz w:val="32"/>
          <w:szCs w:val="40"/>
        </w:rPr>
      </w:pPr>
      <w:r>
        <w:rPr>
          <w:rFonts w:hint="eastAsia" w:ascii="Times New Roman" w:hAnsi="Times New Roman" w:eastAsia="宋体" w:cs="Times New Roman"/>
          <w:b/>
          <w:bCs/>
          <w:kern w:val="2"/>
          <w:sz w:val="32"/>
          <w:szCs w:val="40"/>
          <w:lang w:val="en-US" w:eastAsia="zh-CN" w:bidi="ar-SA"/>
        </w:rPr>
        <w:t>（一）</w:t>
      </w:r>
      <w:r>
        <w:rPr>
          <w:rFonts w:hint="eastAsia"/>
          <w:b/>
          <w:bCs/>
          <w:sz w:val="32"/>
          <w:szCs w:val="40"/>
        </w:rPr>
        <w:t>项目资金申报及批复情况。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项目资金申报严格按照上级要求来确定资金标准，资金批复按照流程一级上报一级。</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（二）项目绩效目标。</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“院对院”结对帮扶，通过医院间的交流与帮扶，旨在提升基层医疗卫生机构服务能力。作为此次对口帮扶基层医疗卫生机构，质量上任务完成覆盖率100%，且在一年内完成，满意度达95%。</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（三）项目资金申报相符性。</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资料真实合理，</w:t>
      </w:r>
      <w:r>
        <w:rPr>
          <w:rFonts w:hint="eastAsia" w:ascii="仿宋_GB2312" w:hAnsi="Calibri" w:eastAsia="仿宋_GB2312" w:cs="仿宋"/>
          <w:color w:val="auto"/>
          <w:kern w:val="0"/>
          <w:sz w:val="32"/>
          <w:szCs w:val="32"/>
          <w:lang w:val="zh-CN" w:eastAsia="zh-CN" w:bidi="ar-SA"/>
        </w:rPr>
        <w:t>严格按照要求申报资金。</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rPr>
      </w:pPr>
      <w:r>
        <w:rPr>
          <w:rFonts w:hint="eastAsia" w:ascii="黑体" w:hAnsi="宋体" w:eastAsia="黑体" w:cs="Times New Roman"/>
          <w:sz w:val="36"/>
          <w:szCs w:val="44"/>
          <w:highlight w:val="none"/>
        </w:rPr>
        <w:t>二、项目实施及管理情况</w:t>
      </w:r>
    </w:p>
    <w:p>
      <w:pPr>
        <w:ind w:firstLine="643" w:firstLineChars="200"/>
        <w:rPr>
          <w:rFonts w:hint="eastAsia" w:ascii="Times New Roman" w:hAnsi="Times New Roman" w:cs="Times New Roman"/>
          <w:b/>
          <w:bCs/>
          <w:sz w:val="32"/>
          <w:szCs w:val="40"/>
        </w:rPr>
      </w:pPr>
      <w:r>
        <w:rPr>
          <w:rFonts w:hint="eastAsia" w:ascii="Times New Roman" w:hAnsi="Times New Roman" w:cs="Times New Roman"/>
          <w:b/>
          <w:bCs/>
          <w:sz w:val="32"/>
          <w:szCs w:val="40"/>
        </w:rPr>
        <w:t>（一）资金计划、到位及使用情况。</w:t>
      </w:r>
    </w:p>
    <w:p>
      <w:pPr>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1．资金计划及到位。2022年财政下达院对院结对帮扶资金2万元，在2022年12月31日前下达到单位，于2022年12月31日前用于院对院结对帮扶项目中。</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2．资金使用。</w:t>
      </w:r>
      <w:r>
        <w:rPr>
          <w:rFonts w:hint="eastAsia" w:ascii="仿宋_GB2312" w:hAnsi="Calibri" w:eastAsia="仿宋_GB2312" w:cs="仿宋"/>
          <w:color w:val="auto"/>
          <w:kern w:val="0"/>
          <w:sz w:val="32"/>
          <w:szCs w:val="32"/>
          <w:lang w:val="zh-CN" w:eastAsia="zh-CN" w:bidi="ar-SA"/>
        </w:rPr>
        <w:t>资金及时足额发放，到位率100%。支付合规合法，资金支付与预算相符。</w:t>
      </w:r>
    </w:p>
    <w:p>
      <w:pPr>
        <w:ind w:firstLine="643" w:firstLineChars="200"/>
        <w:rPr>
          <w:rFonts w:hint="eastAsia"/>
          <w:b/>
          <w:bCs/>
          <w:sz w:val="32"/>
          <w:szCs w:val="40"/>
        </w:rPr>
      </w:pPr>
      <w:r>
        <w:rPr>
          <w:rFonts w:hint="eastAsia"/>
          <w:b/>
          <w:bCs/>
          <w:sz w:val="32"/>
          <w:szCs w:val="40"/>
        </w:rPr>
        <w:t>（二）项目财务管理情况。</w:t>
      </w:r>
    </w:p>
    <w:p>
      <w:pPr>
        <w:ind w:firstLine="640" w:firstLineChars="200"/>
        <w:rPr>
          <w:rFonts w:hint="eastAsia"/>
        </w:rPr>
      </w:pPr>
      <w:r>
        <w:rPr>
          <w:rFonts w:hint="eastAsia" w:ascii="仿宋" w:hAnsi="仿宋" w:eastAsia="仿宋" w:cs="仿宋"/>
          <w:sz w:val="32"/>
          <w:szCs w:val="32"/>
          <w:lang w:val="zh-CN"/>
        </w:rPr>
        <w:t>严格执行政府财务管理制度、财务处理及时、会计核算规范</w:t>
      </w:r>
      <w:r>
        <w:rPr>
          <w:rFonts w:hint="eastAsia"/>
        </w:rPr>
        <w:t>。</w:t>
      </w:r>
    </w:p>
    <w:p>
      <w:pPr>
        <w:ind w:firstLine="643" w:firstLineChars="200"/>
        <w:rPr>
          <w:rFonts w:hint="eastAsia"/>
          <w:b/>
          <w:bCs/>
          <w:sz w:val="32"/>
          <w:szCs w:val="40"/>
        </w:rPr>
      </w:pPr>
      <w:r>
        <w:rPr>
          <w:rFonts w:hint="eastAsia"/>
          <w:b/>
          <w:bCs/>
          <w:sz w:val="32"/>
          <w:szCs w:val="40"/>
        </w:rPr>
        <w:t>（三）项目组织实施情况。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资金按时按量直接支付到村卫生室。</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36"/>
          <w:szCs w:val="44"/>
          <w:highlight w:val="none"/>
        </w:rPr>
      </w:pPr>
      <w:r>
        <w:rPr>
          <w:rFonts w:hint="eastAsia" w:ascii="黑体" w:hAnsi="宋体" w:eastAsia="黑体"/>
          <w:sz w:val="36"/>
          <w:szCs w:val="44"/>
          <w:highlight w:val="none"/>
        </w:rPr>
        <w:t>三、项目绩效情况</w:t>
      </w:r>
    </w:p>
    <w:p>
      <w:pPr>
        <w:ind w:firstLine="643" w:firstLineChars="200"/>
        <w:rPr>
          <w:rFonts w:hint="eastAsia"/>
          <w:b/>
          <w:bCs/>
          <w:sz w:val="32"/>
          <w:szCs w:val="40"/>
        </w:rPr>
      </w:pPr>
      <w:r>
        <w:rPr>
          <w:rFonts w:hint="eastAsia"/>
          <w:b/>
          <w:bCs/>
          <w:sz w:val="32"/>
          <w:szCs w:val="40"/>
        </w:rPr>
        <w:t>（一）项目完成情况。</w:t>
      </w:r>
    </w:p>
    <w:p>
      <w:pPr>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剑阁县鹤龄镇中心卫生院2022年财政下达院对院结对帮扶资金2万元，于2022年12月31日前用于院对院结对帮扶项目中。</w:t>
      </w:r>
    </w:p>
    <w:p>
      <w:pPr>
        <w:ind w:firstLine="643" w:firstLineChars="200"/>
        <w:rPr>
          <w:rFonts w:hint="eastAsia"/>
          <w:b/>
          <w:bCs/>
          <w:sz w:val="32"/>
          <w:szCs w:val="40"/>
        </w:rPr>
      </w:pPr>
      <w:r>
        <w:rPr>
          <w:rFonts w:hint="eastAsia"/>
          <w:b/>
          <w:bCs/>
          <w:sz w:val="32"/>
          <w:szCs w:val="40"/>
        </w:rPr>
        <w:t>（二）项目效益情况。</w:t>
      </w:r>
    </w:p>
    <w:p>
      <w:pPr>
        <w:ind w:firstLine="640" w:firstLineChars="200"/>
        <w:rPr>
          <w:rFonts w:hint="eastAsia"/>
        </w:rPr>
      </w:pPr>
      <w:r>
        <w:rPr>
          <w:rFonts w:hint="eastAsia" w:ascii="仿宋" w:hAnsi="仿宋" w:eastAsia="仿宋" w:cs="仿宋"/>
          <w:sz w:val="32"/>
          <w:szCs w:val="32"/>
          <w:lang w:val="zh-CN"/>
        </w:rPr>
        <w:t>群众满意度达9</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%以上</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44"/>
          <w:szCs w:val="52"/>
          <w:highlight w:val="none"/>
        </w:rPr>
      </w:pPr>
      <w:r>
        <w:rPr>
          <w:rFonts w:hint="eastAsia" w:ascii="黑体" w:hAnsi="宋体" w:eastAsia="黑体"/>
          <w:sz w:val="44"/>
          <w:szCs w:val="52"/>
          <w:highlight w:val="none"/>
        </w:rPr>
        <w:t>四、问题及建议</w:t>
      </w:r>
    </w:p>
    <w:p>
      <w:pPr>
        <w:ind w:firstLine="643" w:firstLineChars="200"/>
        <w:rPr>
          <w:rFonts w:hint="eastAsia"/>
          <w:b/>
          <w:bCs/>
          <w:sz w:val="32"/>
          <w:szCs w:val="40"/>
        </w:rPr>
      </w:pPr>
      <w:r>
        <w:rPr>
          <w:rFonts w:hint="eastAsia"/>
          <w:b/>
          <w:bCs/>
          <w:sz w:val="32"/>
          <w:szCs w:val="40"/>
        </w:rPr>
        <w:t>（一）存在的问题。</w:t>
      </w:r>
    </w:p>
    <w:p>
      <w:pPr>
        <w:ind w:firstLine="960" w:firstLineChars="3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无</w:t>
      </w:r>
    </w:p>
    <w:p>
      <w:pPr>
        <w:numPr>
          <w:ilvl w:val="0"/>
          <w:numId w:val="0"/>
        </w:numPr>
        <w:ind w:firstLine="643" w:firstLineChars="200"/>
        <w:rPr>
          <w:rFonts w:hint="eastAsia"/>
          <w:b/>
          <w:bCs/>
        </w:rPr>
      </w:pPr>
      <w:r>
        <w:rPr>
          <w:rFonts w:hint="eastAsia" w:ascii="Times New Roman" w:hAnsi="Times New Roman" w:eastAsia="仿宋_GB2312" w:cs="Times New Roman"/>
          <w:b/>
          <w:bCs/>
          <w:kern w:val="2"/>
          <w:sz w:val="32"/>
          <w:szCs w:val="32"/>
          <w:lang w:val="en-US" w:eastAsia="zh-CN" w:bidi="ar-SA"/>
        </w:rPr>
        <w:t>（二）</w:t>
      </w:r>
      <w:r>
        <w:rPr>
          <w:rFonts w:hint="eastAsia"/>
          <w:b/>
          <w:bCs/>
        </w:rPr>
        <w:t>相关建议</w:t>
      </w:r>
      <w:r>
        <w:rPr>
          <w:rFonts w:hint="eastAsia"/>
          <w:b/>
          <w:bCs/>
          <w:lang w:eastAsia="zh-CN"/>
        </w:rPr>
        <w:t>。</w:t>
      </w:r>
    </w:p>
    <w:p>
      <w:pPr>
        <w:ind w:firstLine="960" w:firstLineChars="300"/>
        <w:rPr>
          <w:rFonts w:hint="default" w:ascii="宋体" w:hAnsi="宋体" w:eastAsia="宋体" w:cs="宋体"/>
          <w:b w:val="0"/>
          <w:bCs w:val="0"/>
          <w:color w:val="auto"/>
          <w:sz w:val="21"/>
          <w:szCs w:val="21"/>
          <w:highlight w:val="none"/>
          <w:u w:val="none"/>
          <w:vertAlign w:val="baseline"/>
          <w:lang w:val="en-US" w:eastAsia="zh-CN"/>
        </w:rPr>
      </w:pPr>
      <w:r>
        <w:rPr>
          <w:rFonts w:hint="eastAsia" w:ascii="仿宋_GB2312" w:hAnsi="Calibri" w:eastAsia="仿宋_GB2312" w:cs="仿宋"/>
          <w:color w:val="auto"/>
          <w:kern w:val="0"/>
          <w:sz w:val="32"/>
          <w:szCs w:val="32"/>
          <w:lang w:val="en-US" w:eastAsia="zh-CN" w:bidi="ar-SA"/>
        </w:rPr>
        <w:t>无</w:t>
      </w:r>
    </w:p>
    <w:p>
      <w:pPr>
        <w:pStyle w:val="15"/>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753"/>
        <w:gridCol w:w="700"/>
        <w:gridCol w:w="682"/>
        <w:gridCol w:w="449"/>
        <w:gridCol w:w="512"/>
        <w:gridCol w:w="449"/>
        <w:gridCol w:w="934"/>
        <w:gridCol w:w="495"/>
        <w:gridCol w:w="414"/>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51082322T000007029185-院对院结对帮扶（鹤龄）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剑阁县鹤龄镇中心卫生院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院对院结对帮扶 提升服务能力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卫生机构覆盖率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提升医院服务能力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widowControl/>
        <w:jc w:val="left"/>
        <w:rPr>
          <w:rFonts w:ascii="仿宋_GB2312" w:hAnsi="Calibri" w:eastAsia="仿宋_GB2312" w:cs="仿宋"/>
          <w:kern w:val="0"/>
          <w:sz w:val="32"/>
          <w:szCs w:val="32"/>
        </w:rPr>
      </w:pPr>
    </w:p>
    <w:p>
      <w:pPr>
        <w:pStyle w:val="15"/>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14"/>
        <w:ind w:left="0" w:leftChars="0" w:firstLine="0" w:firstLineChars="0"/>
        <w:rPr>
          <w:rFonts w:ascii="黑体" w:hAnsi="黑体" w:eastAsia="黑体"/>
          <w:sz w:val="44"/>
          <w:szCs w:val="44"/>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highlight w:val="none"/>
          <w:lang w:val="en-US" w:eastAsia="zh-CN"/>
        </w:rPr>
      </w:pPr>
    </w:p>
    <w:p>
      <w:pPr>
        <w:pStyle w:val="51"/>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2022年决算预算项目绩效自评报告</w:t>
      </w:r>
    </w:p>
    <w:p>
      <w:pPr>
        <w:pStyle w:val="51"/>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lang w:val="zh-CN" w:eastAsia="zh-CN"/>
        </w:rPr>
      </w:pPr>
      <w:r>
        <w:rPr>
          <w:rFonts w:hint="eastAsia" w:ascii="黑体" w:hAnsi="宋体" w:eastAsia="黑体" w:cs="Times New Roman"/>
          <w:sz w:val="36"/>
          <w:szCs w:val="44"/>
          <w:highlight w:val="none"/>
        </w:rPr>
        <w:t>一、</w:t>
      </w:r>
      <w:r>
        <w:rPr>
          <w:rFonts w:hint="eastAsia" w:ascii="黑体" w:hAnsi="宋体" w:eastAsia="黑体" w:cs="Times New Roman"/>
          <w:sz w:val="36"/>
          <w:szCs w:val="44"/>
          <w:highlight w:val="none"/>
          <w:lang w:val="zh-CN"/>
        </w:rPr>
        <w:t>项目概况</w:t>
      </w:r>
      <w:r>
        <w:rPr>
          <w:rFonts w:hint="eastAsia" w:ascii="黑体" w:hAnsi="宋体" w:eastAsia="黑体" w:cs="Times New Roman"/>
          <w:sz w:val="36"/>
          <w:szCs w:val="44"/>
          <w:highlight w:val="none"/>
          <w:lang w:val="zh-CN" w:eastAsia="zh-CN"/>
        </w:rPr>
        <w:t xml:space="preserve"> </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剑阁县鹤龄镇中心卫生院常态化核酸检测，提升基层医疗卫生机构服务能力。重点说明以下内容：</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（一）项目资金申报及批复情况。</w:t>
      </w:r>
    </w:p>
    <w:p>
      <w:pPr>
        <w:numPr>
          <w:ilvl w:val="0"/>
          <w:numId w:val="0"/>
        </w:numPr>
        <w:ind w:firstLine="640" w:firstLineChars="200"/>
        <w:rPr>
          <w:rFonts w:hint="eastAsia"/>
        </w:rPr>
      </w:pPr>
      <w:r>
        <w:rPr>
          <w:rFonts w:hint="eastAsia" w:ascii="仿宋_GB2312" w:hAnsi="Calibri" w:eastAsia="仿宋_GB2312" w:cs="仿宋"/>
          <w:color w:val="auto"/>
          <w:kern w:val="0"/>
          <w:sz w:val="32"/>
          <w:szCs w:val="32"/>
          <w:lang w:val="en-US" w:eastAsia="zh-CN" w:bidi="ar-SA"/>
        </w:rPr>
        <w:t>项目资金申报严格按照核酸实验室检测样本数量来确定资金标准，资金批复按照流程一级上报一级。</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（二）项目绩效目标。</w:t>
      </w:r>
    </w:p>
    <w:p>
      <w:pPr>
        <w:numPr>
          <w:ilvl w:val="0"/>
          <w:numId w:val="0"/>
        </w:numPr>
        <w:ind w:firstLine="960" w:firstLineChars="300"/>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常态化核酸检测，核酸实验室检测样本，旨在提升基层医疗卫生机构服务能力。作为基层医疗卫生机构，质量上任务完成覆盖率100%，且在一年内完成，满意度达95%。</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（三）项目资金申报相符性。</w:t>
      </w:r>
    </w:p>
    <w:p>
      <w:pPr>
        <w:numPr>
          <w:ilvl w:val="0"/>
          <w:numId w:val="0"/>
        </w:numPr>
        <w:ind w:firstLine="960" w:firstLineChars="300"/>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资料真实合理，</w:t>
      </w:r>
      <w:r>
        <w:rPr>
          <w:rFonts w:hint="eastAsia" w:ascii="仿宋_GB2312" w:hAnsi="Calibri" w:eastAsia="仿宋_GB2312" w:cs="仿宋"/>
          <w:color w:val="auto"/>
          <w:kern w:val="0"/>
          <w:sz w:val="32"/>
          <w:szCs w:val="32"/>
          <w:lang w:val="zh-CN" w:eastAsia="zh-CN" w:bidi="ar-SA"/>
        </w:rPr>
        <w:t>严格按照要求申报资金。</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rPr>
      </w:pPr>
      <w:r>
        <w:rPr>
          <w:rFonts w:hint="eastAsia" w:ascii="黑体" w:hAnsi="宋体" w:eastAsia="黑体" w:cs="Times New Roman"/>
          <w:sz w:val="36"/>
          <w:szCs w:val="44"/>
          <w:highlight w:val="none"/>
        </w:rPr>
        <w:t>二、项目实施及管理情况</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（一）资金计划、到位及使用情况。</w:t>
      </w:r>
    </w:p>
    <w:p>
      <w:pPr>
        <w:numPr>
          <w:ilvl w:val="0"/>
          <w:numId w:val="0"/>
        </w:numPr>
        <w:ind w:firstLine="960" w:firstLineChars="300"/>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1．资金计划及到位。2022年财政下达常态化核酸检测23.1万元，在2022年12月31日前下达到单位，于2022年12月31日前用于核酸检测项目中。</w:t>
      </w:r>
    </w:p>
    <w:p>
      <w:pPr>
        <w:numPr>
          <w:ilvl w:val="0"/>
          <w:numId w:val="0"/>
        </w:numPr>
        <w:ind w:firstLine="960" w:firstLineChars="300"/>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2．资金使用。</w:t>
      </w:r>
      <w:r>
        <w:rPr>
          <w:rFonts w:hint="eastAsia" w:ascii="仿宋_GB2312" w:hAnsi="Calibri" w:eastAsia="仿宋_GB2312" w:cs="仿宋"/>
          <w:color w:val="auto"/>
          <w:kern w:val="0"/>
          <w:sz w:val="32"/>
          <w:szCs w:val="32"/>
          <w:lang w:val="zh-CN" w:eastAsia="zh-CN" w:bidi="ar-SA"/>
        </w:rPr>
        <w:t>资金及时足额发放，到位率100%。支付合规合法，资金支付与预算相符。</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（二）项目财务管理情况。</w:t>
      </w:r>
    </w:p>
    <w:p>
      <w:pPr>
        <w:numPr>
          <w:ilvl w:val="0"/>
          <w:numId w:val="0"/>
        </w:numPr>
        <w:ind w:firstLine="960" w:firstLineChars="300"/>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严格执行政府财务管理制度、财务处理及时、会计核算规范</w:t>
      </w:r>
      <w:r>
        <w:rPr>
          <w:rFonts w:hint="eastAsia" w:ascii="仿宋_GB2312" w:hAnsi="Calibri" w:eastAsia="仿宋_GB2312" w:cs="仿宋"/>
          <w:color w:val="auto"/>
          <w:kern w:val="0"/>
          <w:sz w:val="32"/>
          <w:szCs w:val="32"/>
          <w:lang w:val="en-US" w:eastAsia="zh-CN" w:bidi="ar-SA"/>
        </w:rPr>
        <w:t>。</w:t>
      </w:r>
    </w:p>
    <w:p>
      <w:pPr>
        <w:numPr>
          <w:ilvl w:val="0"/>
          <w:numId w:val="0"/>
        </w:num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（三）项目组织实施情况。</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资金按时按量直接支付到单位</w:t>
      </w:r>
      <w:r>
        <w:rPr>
          <w:rFonts w:hint="eastAsia" w:ascii="仿宋_GB2312" w:hAnsi="Calibri" w:eastAsia="仿宋_GB2312" w:cs="仿宋"/>
          <w:color w:val="auto"/>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rPr>
      </w:pPr>
      <w:r>
        <w:rPr>
          <w:rFonts w:hint="eastAsia" w:ascii="黑体" w:hAnsi="宋体" w:eastAsia="黑体" w:cs="Times New Roman"/>
          <w:sz w:val="36"/>
          <w:szCs w:val="44"/>
          <w:highlight w:val="none"/>
        </w:rPr>
        <w:t>三、项目绩效情况</w:t>
      </w:r>
    </w:p>
    <w:p>
      <w:pPr>
        <w:ind w:firstLine="643" w:firstLineChars="200"/>
        <w:rPr>
          <w:rFonts w:hint="default" w:ascii="仿宋_GB2312" w:hAnsi="Calibri" w:eastAsia="仿宋_GB2312" w:cs="仿宋"/>
          <w:color w:val="auto"/>
          <w:kern w:val="0"/>
          <w:sz w:val="32"/>
          <w:szCs w:val="32"/>
          <w:lang w:val="en-US" w:eastAsia="zh-CN" w:bidi="ar-SA"/>
        </w:rPr>
      </w:pPr>
      <w:r>
        <w:rPr>
          <w:rFonts w:hint="eastAsia" w:ascii="Times New Roman" w:hAnsi="Times New Roman" w:eastAsia="宋体" w:cs="Times New Roman"/>
          <w:b/>
          <w:bCs/>
          <w:kern w:val="2"/>
          <w:sz w:val="32"/>
          <w:szCs w:val="40"/>
          <w:lang w:val="en-US" w:eastAsia="zh-CN" w:bidi="ar-SA"/>
        </w:rPr>
        <w:t>（一）项目完成情况。</w:t>
      </w:r>
      <w:r>
        <w:rPr>
          <w:rFonts w:hint="eastAsia" w:ascii="仿宋_GB2312" w:hAnsi="Calibri" w:eastAsia="仿宋_GB2312" w:cs="仿宋"/>
          <w:color w:val="auto"/>
          <w:kern w:val="0"/>
          <w:sz w:val="32"/>
          <w:szCs w:val="32"/>
          <w:lang w:val="en-US" w:eastAsia="zh-CN" w:bidi="ar-SA"/>
        </w:rPr>
        <w:t>剑阁县鹤龄镇中心卫生院2022年财政下达常态化核酸检测23.1万元，于2022年12月31日前用于院对院结对帮扶项目中。</w:t>
      </w:r>
    </w:p>
    <w:p>
      <w:p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（二）项目效益情况。</w:t>
      </w:r>
    </w:p>
    <w:p>
      <w:pPr>
        <w:ind w:firstLine="640" w:firstLineChars="200"/>
        <w:rPr>
          <w:rFonts w:hint="eastAsia"/>
        </w:rPr>
      </w:pPr>
      <w:r>
        <w:rPr>
          <w:rFonts w:hint="eastAsia" w:ascii="仿宋" w:hAnsi="仿宋" w:eastAsia="仿宋" w:cs="仿宋"/>
          <w:sz w:val="32"/>
          <w:szCs w:val="32"/>
          <w:lang w:val="zh-CN"/>
        </w:rPr>
        <w:t>群众满意度达9</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%以上</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s="Times New Roman"/>
          <w:sz w:val="36"/>
          <w:szCs w:val="44"/>
          <w:highlight w:val="none"/>
          <w:lang w:val="en-US" w:eastAsia="zh-CN"/>
        </w:rPr>
      </w:pPr>
      <w:r>
        <w:rPr>
          <w:rFonts w:hint="eastAsia" w:ascii="黑体" w:hAnsi="宋体" w:eastAsia="黑体" w:cs="Times New Roman"/>
          <w:sz w:val="36"/>
          <w:szCs w:val="44"/>
          <w:highlight w:val="none"/>
        </w:rPr>
        <w:t>四、问题及建</w:t>
      </w:r>
      <w:r>
        <w:rPr>
          <w:rFonts w:hint="eastAsia" w:ascii="黑体" w:hAnsi="宋体" w:eastAsia="黑体" w:cs="Times New Roman"/>
          <w:sz w:val="36"/>
          <w:szCs w:val="44"/>
          <w:highlight w:val="none"/>
          <w:lang w:val="en-US" w:eastAsia="zh-CN"/>
        </w:rPr>
        <w:t>议</w:t>
      </w:r>
    </w:p>
    <w:p>
      <w:p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（一）存在的问题。</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无</w:t>
      </w:r>
    </w:p>
    <w:p>
      <w:pPr>
        <w:ind w:firstLine="643" w:firstLineChars="200"/>
        <w:rPr>
          <w:rFonts w:hint="eastAsia" w:ascii="Times New Roman" w:hAnsi="Times New Roman" w:eastAsia="宋体" w:cs="Times New Roman"/>
          <w:b/>
          <w:bCs/>
          <w:kern w:val="2"/>
          <w:sz w:val="32"/>
          <w:szCs w:val="40"/>
          <w:lang w:val="en-US" w:eastAsia="zh-CN" w:bidi="ar-SA"/>
        </w:rPr>
      </w:pPr>
      <w:r>
        <w:rPr>
          <w:rFonts w:hint="eastAsia" w:ascii="Times New Roman" w:hAnsi="Times New Roman" w:eastAsia="宋体" w:cs="Times New Roman"/>
          <w:b/>
          <w:bCs/>
          <w:kern w:val="2"/>
          <w:sz w:val="32"/>
          <w:szCs w:val="40"/>
          <w:lang w:val="en-US" w:eastAsia="zh-CN" w:bidi="ar-SA"/>
        </w:rPr>
        <w:t>（二）相关建议。</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b w:val="0"/>
          <w:bCs w:val="0"/>
          <w:color w:val="auto"/>
          <w:sz w:val="21"/>
          <w:szCs w:val="21"/>
          <w:highlight w:val="none"/>
          <w:u w:val="none"/>
          <w:vertAlign w:val="baseline"/>
          <w:lang w:val="en-US" w:eastAsia="zh-CN"/>
        </w:rPr>
      </w:pPr>
    </w:p>
    <w:p>
      <w:pPr>
        <w:pStyle w:val="14"/>
        <w:rPr>
          <w:rFonts w:ascii="黑体" w:hAnsi="黑体" w:eastAsia="黑体"/>
          <w:sz w:val="44"/>
          <w:szCs w:val="44"/>
        </w:rPr>
      </w:pPr>
    </w:p>
    <w:p>
      <w:pPr>
        <w:pStyle w:val="14"/>
        <w:rPr>
          <w:rFonts w:ascii="黑体" w:hAnsi="黑体" w:eastAsia="黑体"/>
          <w:sz w:val="44"/>
          <w:szCs w:val="44"/>
        </w:rPr>
      </w:pPr>
    </w:p>
    <w:p>
      <w:pPr>
        <w:pStyle w:val="14"/>
        <w:rPr>
          <w:rFonts w:ascii="黑体" w:hAnsi="黑体" w:eastAsia="黑体"/>
          <w:sz w:val="44"/>
          <w:szCs w:val="44"/>
        </w:rPr>
      </w:pPr>
    </w:p>
    <w:p>
      <w:pPr>
        <w:pStyle w:val="14"/>
        <w:ind w:left="0" w:leftChars="0" w:firstLine="0" w:firstLineChars="0"/>
        <w:rPr>
          <w:rFonts w:ascii="黑体" w:hAnsi="黑体" w:eastAsia="黑体"/>
          <w:sz w:val="44"/>
          <w:szCs w:val="44"/>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763"/>
        <w:gridCol w:w="613"/>
        <w:gridCol w:w="731"/>
        <w:gridCol w:w="452"/>
        <w:gridCol w:w="433"/>
        <w:gridCol w:w="452"/>
        <w:gridCol w:w="939"/>
        <w:gridCol w:w="495"/>
        <w:gridCol w:w="415"/>
        <w:gridCol w:w="2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51082323T000007709260-常态化核酸检测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剑阁县鹤龄镇中心卫生院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ind w:left="0" w:leftChars="0" w:firstLine="0" w:firstLineChars="0"/>
        <w:rPr>
          <w:rFonts w:ascii="黑体" w:hAnsi="黑体" w:eastAsia="黑体"/>
          <w:sz w:val="44"/>
          <w:szCs w:val="44"/>
        </w:rPr>
      </w:pPr>
    </w:p>
    <w:p>
      <w:pPr>
        <w:spacing w:line="600" w:lineRule="exact"/>
        <w:jc w:val="center"/>
        <w:outlineLvl w:val="0"/>
        <w:rPr>
          <w:rFonts w:ascii="仿宋" w:hAnsi="仿宋" w:eastAsia="仿宋"/>
        </w:rPr>
      </w:pPr>
      <w:bookmarkStart w:id="84" w:name="_Toc6882"/>
      <w:r>
        <w:rPr>
          <w:rFonts w:hint="eastAsia" w:ascii="黑体" w:hAnsi="黑体" w:eastAsia="黑体"/>
          <w:sz w:val="44"/>
          <w:szCs w:val="44"/>
        </w:rPr>
        <w:t>第</w:t>
      </w:r>
      <w:r>
        <w:rPr>
          <w:rStyle w:val="29"/>
          <w:rFonts w:hint="eastAsia" w:ascii="黑体" w:hAnsi="黑体" w:eastAsia="黑体"/>
          <w:b w:val="0"/>
        </w:rPr>
        <w:t>五部分 附表</w:t>
      </w:r>
      <w:bookmarkEnd w:id="80"/>
      <w:bookmarkEnd w:id="83"/>
      <w:bookmarkEnd w:id="84"/>
      <w:bookmarkStart w:id="85" w:name="_Toc15396619"/>
    </w:p>
    <w:p>
      <w:pPr>
        <w:pStyle w:val="3"/>
        <w:rPr>
          <w:rFonts w:ascii="仿宋" w:hAnsi="仿宋" w:eastAsia="仿宋"/>
        </w:rPr>
      </w:pPr>
      <w:bookmarkStart w:id="86" w:name="_Toc18636"/>
      <w:r>
        <w:rPr>
          <w:rFonts w:hint="eastAsia" w:ascii="仿宋" w:hAnsi="仿宋" w:eastAsia="仿宋"/>
          <w:b w:val="0"/>
        </w:rPr>
        <w:t>一、收</w:t>
      </w:r>
      <w:r>
        <w:rPr>
          <w:rStyle w:val="30"/>
          <w:rFonts w:hint="eastAsia" w:ascii="仿宋" w:hAnsi="仿宋" w:eastAsia="仿宋"/>
          <w:b w:val="0"/>
          <w:bCs w:val="0"/>
        </w:rPr>
        <w:t>入支出决算总表</w:t>
      </w:r>
      <w:bookmarkEnd w:id="85"/>
      <w:bookmarkEnd w:id="86"/>
    </w:p>
    <w:p>
      <w:pPr>
        <w:pStyle w:val="3"/>
        <w:rPr>
          <w:rFonts w:ascii="仿宋" w:hAnsi="仿宋" w:eastAsia="仿宋"/>
        </w:rPr>
      </w:pPr>
      <w:bookmarkStart w:id="87" w:name="_Toc15396620"/>
      <w:bookmarkStart w:id="88" w:name="_Toc25726"/>
      <w:r>
        <w:rPr>
          <w:rFonts w:hint="eastAsia" w:ascii="仿宋" w:hAnsi="仿宋" w:eastAsia="仿宋"/>
          <w:b w:val="0"/>
        </w:rPr>
        <w:t>二、收</w:t>
      </w:r>
      <w:r>
        <w:rPr>
          <w:rStyle w:val="30"/>
          <w:rFonts w:hint="eastAsia" w:ascii="仿宋" w:hAnsi="仿宋" w:eastAsia="仿宋"/>
          <w:b w:val="0"/>
          <w:bCs w:val="0"/>
        </w:rPr>
        <w:t>入决算表</w:t>
      </w:r>
      <w:bookmarkEnd w:id="87"/>
      <w:bookmarkEnd w:id="88"/>
    </w:p>
    <w:p>
      <w:pPr>
        <w:pStyle w:val="3"/>
        <w:rPr>
          <w:rFonts w:ascii="仿宋" w:hAnsi="仿宋" w:eastAsia="仿宋"/>
        </w:rPr>
      </w:pPr>
      <w:bookmarkStart w:id="89" w:name="_Toc15396621"/>
      <w:bookmarkStart w:id="90" w:name="_Toc6794"/>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89"/>
      <w:bookmarkEnd w:id="90"/>
    </w:p>
    <w:p>
      <w:pPr>
        <w:pStyle w:val="3"/>
        <w:rPr>
          <w:rFonts w:ascii="仿宋" w:hAnsi="仿宋" w:eastAsia="仿宋"/>
          <w:b w:val="0"/>
        </w:rPr>
      </w:pPr>
      <w:bookmarkStart w:id="91" w:name="_Toc12465"/>
      <w:bookmarkStart w:id="92"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1"/>
      <w:bookmarkEnd w:id="92"/>
    </w:p>
    <w:p>
      <w:pPr>
        <w:pStyle w:val="3"/>
        <w:rPr>
          <w:rStyle w:val="30"/>
          <w:rFonts w:ascii="仿宋" w:hAnsi="仿宋" w:eastAsia="仿宋"/>
          <w:b w:val="0"/>
          <w:bCs w:val="0"/>
        </w:rPr>
      </w:pPr>
      <w:bookmarkStart w:id="93" w:name="_Toc2629"/>
      <w:bookmarkStart w:id="94"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3"/>
      <w:bookmarkEnd w:id="94"/>
      <w:bookmarkStart w:id="95" w:name="_Toc15396624"/>
    </w:p>
    <w:p>
      <w:pPr>
        <w:pStyle w:val="3"/>
        <w:rPr>
          <w:rFonts w:ascii="仿宋" w:hAnsi="仿宋" w:eastAsia="仿宋"/>
        </w:rPr>
      </w:pPr>
      <w:bookmarkStart w:id="96" w:name="_Toc6810"/>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5"/>
      <w:bookmarkEnd w:id="96"/>
    </w:p>
    <w:p>
      <w:pPr>
        <w:pStyle w:val="3"/>
        <w:rPr>
          <w:rFonts w:ascii="仿宋" w:hAnsi="仿宋" w:eastAsia="仿宋"/>
        </w:rPr>
      </w:pPr>
      <w:bookmarkStart w:id="97" w:name="_Toc32475"/>
      <w:bookmarkStart w:id="98"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7"/>
      <w:bookmarkEnd w:id="98"/>
    </w:p>
    <w:p>
      <w:pPr>
        <w:pStyle w:val="3"/>
        <w:rPr>
          <w:rFonts w:ascii="仿宋" w:hAnsi="仿宋" w:eastAsia="仿宋"/>
        </w:rPr>
      </w:pPr>
      <w:bookmarkStart w:id="99" w:name="_Toc3339"/>
      <w:bookmarkStart w:id="100"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99"/>
      <w:bookmarkEnd w:id="100"/>
    </w:p>
    <w:p>
      <w:pPr>
        <w:pStyle w:val="3"/>
        <w:rPr>
          <w:rFonts w:ascii="仿宋" w:hAnsi="仿宋" w:eastAsia="仿宋"/>
        </w:rPr>
      </w:pPr>
      <w:bookmarkStart w:id="101" w:name="_Toc403"/>
      <w:bookmarkStart w:id="10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1"/>
      <w:bookmarkEnd w:id="102"/>
    </w:p>
    <w:p>
      <w:pPr>
        <w:pStyle w:val="3"/>
        <w:rPr>
          <w:rFonts w:ascii="仿宋" w:hAnsi="仿宋" w:eastAsia="仿宋"/>
        </w:rPr>
      </w:pPr>
      <w:bookmarkStart w:id="103" w:name="_Toc15396628"/>
      <w:bookmarkStart w:id="104" w:name="_Toc5863"/>
      <w:r>
        <w:rPr>
          <w:rStyle w:val="30"/>
          <w:rFonts w:hint="eastAsia" w:ascii="仿宋" w:hAnsi="仿宋" w:eastAsia="仿宋"/>
          <w:b w:val="0"/>
          <w:bCs w:val="0"/>
        </w:rPr>
        <w:t>十、</w:t>
      </w:r>
      <w:bookmarkEnd w:id="103"/>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4"/>
    </w:p>
    <w:p>
      <w:pPr>
        <w:pStyle w:val="3"/>
        <w:rPr>
          <w:rFonts w:ascii="仿宋" w:hAnsi="仿宋" w:eastAsia="仿宋"/>
        </w:rPr>
      </w:pPr>
      <w:bookmarkStart w:id="105" w:name="_Toc15396629"/>
      <w:bookmarkStart w:id="106" w:name="_Toc19859"/>
      <w:r>
        <w:rPr>
          <w:rStyle w:val="30"/>
          <w:rFonts w:hint="eastAsia" w:ascii="仿宋" w:hAnsi="仿宋" w:eastAsia="仿宋"/>
          <w:b w:val="0"/>
          <w:bCs w:val="0"/>
        </w:rPr>
        <w:t>十一、</w:t>
      </w:r>
      <w:bookmarkEnd w:id="105"/>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6"/>
    </w:p>
    <w:p>
      <w:pPr>
        <w:pStyle w:val="3"/>
        <w:rPr>
          <w:rFonts w:ascii="仿宋" w:hAnsi="仿宋" w:eastAsia="仿宋"/>
        </w:rPr>
      </w:pPr>
      <w:bookmarkStart w:id="107" w:name="_Toc15396630"/>
      <w:bookmarkStart w:id="108" w:name="_Toc5958"/>
      <w:r>
        <w:rPr>
          <w:rStyle w:val="30"/>
          <w:rFonts w:hint="eastAsia" w:ascii="仿宋" w:hAnsi="仿宋" w:eastAsia="仿宋"/>
          <w:b w:val="0"/>
          <w:bCs w:val="0"/>
        </w:rPr>
        <w:t>十二、</w:t>
      </w:r>
      <w:bookmarkEnd w:id="107"/>
      <w:r>
        <w:rPr>
          <w:rStyle w:val="30"/>
          <w:rFonts w:hint="eastAsia" w:ascii="仿宋" w:hAnsi="仿宋" w:eastAsia="仿宋"/>
          <w:b w:val="0"/>
          <w:bCs w:val="0"/>
        </w:rPr>
        <w:t>国有资本经营预算财政拨款支出决算表</w:t>
      </w:r>
      <w:bookmarkEnd w:id="108"/>
    </w:p>
    <w:p>
      <w:pPr>
        <w:pStyle w:val="3"/>
        <w:rPr>
          <w:rFonts w:eastAsia="仿宋"/>
        </w:rPr>
      </w:pPr>
      <w:bookmarkStart w:id="109" w:name="_Toc15396631"/>
      <w:bookmarkStart w:id="110" w:name="_Toc15355"/>
      <w:r>
        <w:rPr>
          <w:rStyle w:val="30"/>
          <w:rFonts w:hint="eastAsia" w:ascii="仿宋" w:hAnsi="仿宋" w:eastAsia="仿宋"/>
          <w:b w:val="0"/>
          <w:bCs w:val="0"/>
        </w:rPr>
        <w:t>十三、</w:t>
      </w:r>
      <w:bookmarkEnd w:id="109"/>
      <w:r>
        <w:rPr>
          <w:rStyle w:val="30"/>
          <w:rFonts w:hint="eastAsia" w:ascii="仿宋" w:hAnsi="仿宋" w:eastAsia="仿宋"/>
          <w:b w:val="0"/>
          <w:bCs w:val="0"/>
        </w:rPr>
        <w:t>财政拨款“三公”经费支出决算表</w:t>
      </w:r>
      <w:bookmarkEnd w:id="11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3FA7FBB"/>
    <w:multiLevelType w:val="singleLevel"/>
    <w:tmpl w:val="13FA7FBB"/>
    <w:lvl w:ilvl="0" w:tentative="0">
      <w:start w:val="1"/>
      <w:numFmt w:val="decimal"/>
      <w:lvlText w:val="%1."/>
      <w:lvlJc w:val="left"/>
      <w:pPr>
        <w:tabs>
          <w:tab w:val="left" w:pos="312"/>
        </w:tabs>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1ZjZhOThhOGZiYzQwNWYwZTFhMmI3MTU3Nzg2NjEifQ=="/>
  </w:docVars>
  <w:rsids>
    <w:rsidRoot w:val="00F1361C"/>
    <w:rsid w:val="000222C6"/>
    <w:rsid w:val="0002549F"/>
    <w:rsid w:val="0002754A"/>
    <w:rsid w:val="0003004E"/>
    <w:rsid w:val="000409D9"/>
    <w:rsid w:val="000413C6"/>
    <w:rsid w:val="000468DB"/>
    <w:rsid w:val="00046DA2"/>
    <w:rsid w:val="0006487A"/>
    <w:rsid w:val="00065F8F"/>
    <w:rsid w:val="00066F33"/>
    <w:rsid w:val="00067263"/>
    <w:rsid w:val="00070A43"/>
    <w:rsid w:val="00070F44"/>
    <w:rsid w:val="000768F2"/>
    <w:rsid w:val="0009184B"/>
    <w:rsid w:val="00094236"/>
    <w:rsid w:val="0009593C"/>
    <w:rsid w:val="00097322"/>
    <w:rsid w:val="000A6A92"/>
    <w:rsid w:val="000B047F"/>
    <w:rsid w:val="000B5923"/>
    <w:rsid w:val="000B5A48"/>
    <w:rsid w:val="000B6FF3"/>
    <w:rsid w:val="000B7B42"/>
    <w:rsid w:val="000C3467"/>
    <w:rsid w:val="000C3CA6"/>
    <w:rsid w:val="000C6619"/>
    <w:rsid w:val="000D022D"/>
    <w:rsid w:val="000D1267"/>
    <w:rsid w:val="000D1D50"/>
    <w:rsid w:val="000D5782"/>
    <w:rsid w:val="000E6613"/>
    <w:rsid w:val="000E7119"/>
    <w:rsid w:val="000E73F2"/>
    <w:rsid w:val="000F4D8D"/>
    <w:rsid w:val="00114E9B"/>
    <w:rsid w:val="00130DCE"/>
    <w:rsid w:val="00130E9B"/>
    <w:rsid w:val="00142216"/>
    <w:rsid w:val="00144D6A"/>
    <w:rsid w:val="0014729F"/>
    <w:rsid w:val="001530A8"/>
    <w:rsid w:val="00157BAB"/>
    <w:rsid w:val="001654D1"/>
    <w:rsid w:val="00174518"/>
    <w:rsid w:val="0018106D"/>
    <w:rsid w:val="00184631"/>
    <w:rsid w:val="001877A7"/>
    <w:rsid w:val="00191536"/>
    <w:rsid w:val="00196687"/>
    <w:rsid w:val="001A3C1B"/>
    <w:rsid w:val="001B6EDD"/>
    <w:rsid w:val="001C0962"/>
    <w:rsid w:val="001D7531"/>
    <w:rsid w:val="001D7954"/>
    <w:rsid w:val="001E54CE"/>
    <w:rsid w:val="001E737D"/>
    <w:rsid w:val="001F0592"/>
    <w:rsid w:val="001F7506"/>
    <w:rsid w:val="002006CD"/>
    <w:rsid w:val="00202119"/>
    <w:rsid w:val="00202B36"/>
    <w:rsid w:val="00204B7A"/>
    <w:rsid w:val="00204CDE"/>
    <w:rsid w:val="0021101A"/>
    <w:rsid w:val="00220536"/>
    <w:rsid w:val="00235629"/>
    <w:rsid w:val="00260C38"/>
    <w:rsid w:val="00260C48"/>
    <w:rsid w:val="002615E1"/>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41FAA"/>
    <w:rsid w:val="0036561B"/>
    <w:rsid w:val="0037013F"/>
    <w:rsid w:val="00380C92"/>
    <w:rsid w:val="00384039"/>
    <w:rsid w:val="00385DC3"/>
    <w:rsid w:val="003A484F"/>
    <w:rsid w:val="003A4883"/>
    <w:rsid w:val="003B0BE0"/>
    <w:rsid w:val="003B0C1B"/>
    <w:rsid w:val="003B688C"/>
    <w:rsid w:val="003C0291"/>
    <w:rsid w:val="003C39AE"/>
    <w:rsid w:val="003C7B60"/>
    <w:rsid w:val="003D0C0F"/>
    <w:rsid w:val="003D1FB2"/>
    <w:rsid w:val="003D66DA"/>
    <w:rsid w:val="003E1310"/>
    <w:rsid w:val="003E222B"/>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B4FF0"/>
    <w:rsid w:val="004B4FF4"/>
    <w:rsid w:val="004D12DF"/>
    <w:rsid w:val="004D7BF4"/>
    <w:rsid w:val="004E0A2D"/>
    <w:rsid w:val="004E206B"/>
    <w:rsid w:val="004E6DF7"/>
    <w:rsid w:val="004F0FBD"/>
    <w:rsid w:val="00505A47"/>
    <w:rsid w:val="00507F87"/>
    <w:rsid w:val="00512FDA"/>
    <w:rsid w:val="00520DA0"/>
    <w:rsid w:val="005664BB"/>
    <w:rsid w:val="00566FFA"/>
    <w:rsid w:val="0057481D"/>
    <w:rsid w:val="00577AC0"/>
    <w:rsid w:val="0058486E"/>
    <w:rsid w:val="00585B33"/>
    <w:rsid w:val="00587AA4"/>
    <w:rsid w:val="0059014D"/>
    <w:rsid w:val="005B5C64"/>
    <w:rsid w:val="005C2875"/>
    <w:rsid w:val="005C5337"/>
    <w:rsid w:val="005C6BD0"/>
    <w:rsid w:val="005D1C8B"/>
    <w:rsid w:val="005D468D"/>
    <w:rsid w:val="005D5CED"/>
    <w:rsid w:val="005F1A4C"/>
    <w:rsid w:val="005F6041"/>
    <w:rsid w:val="00605688"/>
    <w:rsid w:val="006070AF"/>
    <w:rsid w:val="00607E6C"/>
    <w:rsid w:val="006101B1"/>
    <w:rsid w:val="00610D26"/>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2C63"/>
    <w:rsid w:val="006D42DC"/>
    <w:rsid w:val="006F020C"/>
    <w:rsid w:val="007127B7"/>
    <w:rsid w:val="0071798E"/>
    <w:rsid w:val="007416B6"/>
    <w:rsid w:val="00746F48"/>
    <w:rsid w:val="0074760E"/>
    <w:rsid w:val="0075404D"/>
    <w:rsid w:val="0076182A"/>
    <w:rsid w:val="00761C6F"/>
    <w:rsid w:val="00767B7E"/>
    <w:rsid w:val="00776079"/>
    <w:rsid w:val="007770C3"/>
    <w:rsid w:val="00784D24"/>
    <w:rsid w:val="00785FBA"/>
    <w:rsid w:val="00786E4A"/>
    <w:rsid w:val="007875EB"/>
    <w:rsid w:val="0079426B"/>
    <w:rsid w:val="007A0AC5"/>
    <w:rsid w:val="007C5F77"/>
    <w:rsid w:val="007D1682"/>
    <w:rsid w:val="007D312A"/>
    <w:rsid w:val="007D3F19"/>
    <w:rsid w:val="007E23B0"/>
    <w:rsid w:val="007E23E5"/>
    <w:rsid w:val="007F1991"/>
    <w:rsid w:val="007F2C2F"/>
    <w:rsid w:val="007F55FC"/>
    <w:rsid w:val="007F5665"/>
    <w:rsid w:val="00800112"/>
    <w:rsid w:val="00813348"/>
    <w:rsid w:val="008253BB"/>
    <w:rsid w:val="008355C0"/>
    <w:rsid w:val="0083706E"/>
    <w:rsid w:val="008403C6"/>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5F3C"/>
    <w:rsid w:val="008C7FD0"/>
    <w:rsid w:val="008D5400"/>
    <w:rsid w:val="008E1DE7"/>
    <w:rsid w:val="008E707C"/>
    <w:rsid w:val="008F4947"/>
    <w:rsid w:val="00900B08"/>
    <w:rsid w:val="00902155"/>
    <w:rsid w:val="00902FA3"/>
    <w:rsid w:val="00923564"/>
    <w:rsid w:val="0092392E"/>
    <w:rsid w:val="009314B5"/>
    <w:rsid w:val="009315F9"/>
    <w:rsid w:val="00933499"/>
    <w:rsid w:val="00935C98"/>
    <w:rsid w:val="00946945"/>
    <w:rsid w:val="0095081B"/>
    <w:rsid w:val="00951248"/>
    <w:rsid w:val="0095152F"/>
    <w:rsid w:val="00954C49"/>
    <w:rsid w:val="00955E37"/>
    <w:rsid w:val="009575B9"/>
    <w:rsid w:val="0096294D"/>
    <w:rsid w:val="0097099F"/>
    <w:rsid w:val="00971997"/>
    <w:rsid w:val="00971FFC"/>
    <w:rsid w:val="0098660A"/>
    <w:rsid w:val="009931C3"/>
    <w:rsid w:val="0099621D"/>
    <w:rsid w:val="009B2C43"/>
    <w:rsid w:val="009B4EAE"/>
    <w:rsid w:val="009B7573"/>
    <w:rsid w:val="009C22F4"/>
    <w:rsid w:val="009C2A4B"/>
    <w:rsid w:val="009C2E98"/>
    <w:rsid w:val="009D07C1"/>
    <w:rsid w:val="009D3447"/>
    <w:rsid w:val="009D4711"/>
    <w:rsid w:val="009D714B"/>
    <w:rsid w:val="009F1185"/>
    <w:rsid w:val="009F18CD"/>
    <w:rsid w:val="009F2A13"/>
    <w:rsid w:val="009F7527"/>
    <w:rsid w:val="00A04EB0"/>
    <w:rsid w:val="00A13CC1"/>
    <w:rsid w:val="00A16847"/>
    <w:rsid w:val="00A237D8"/>
    <w:rsid w:val="00A268C4"/>
    <w:rsid w:val="00A307CD"/>
    <w:rsid w:val="00A331C8"/>
    <w:rsid w:val="00A40A00"/>
    <w:rsid w:val="00A4142F"/>
    <w:rsid w:val="00A42231"/>
    <w:rsid w:val="00A422EB"/>
    <w:rsid w:val="00A45BB7"/>
    <w:rsid w:val="00A56DF2"/>
    <w:rsid w:val="00A56E6E"/>
    <w:rsid w:val="00A60AA4"/>
    <w:rsid w:val="00A67AB5"/>
    <w:rsid w:val="00A733B2"/>
    <w:rsid w:val="00A741C2"/>
    <w:rsid w:val="00A84BC4"/>
    <w:rsid w:val="00A91760"/>
    <w:rsid w:val="00A93B00"/>
    <w:rsid w:val="00A93C21"/>
    <w:rsid w:val="00AB64C9"/>
    <w:rsid w:val="00AC3C6A"/>
    <w:rsid w:val="00AD5620"/>
    <w:rsid w:val="00AD656B"/>
    <w:rsid w:val="00AD7C1B"/>
    <w:rsid w:val="00AE16BA"/>
    <w:rsid w:val="00AE1EBE"/>
    <w:rsid w:val="00B03C9D"/>
    <w:rsid w:val="00B04450"/>
    <w:rsid w:val="00B060AE"/>
    <w:rsid w:val="00B10517"/>
    <w:rsid w:val="00B12718"/>
    <w:rsid w:val="00B14E76"/>
    <w:rsid w:val="00B15D85"/>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A6509"/>
    <w:rsid w:val="00BB4DF0"/>
    <w:rsid w:val="00BC289F"/>
    <w:rsid w:val="00BC2D50"/>
    <w:rsid w:val="00BC5361"/>
    <w:rsid w:val="00BC5460"/>
    <w:rsid w:val="00BC6B50"/>
    <w:rsid w:val="00BD0E25"/>
    <w:rsid w:val="00BE1D8C"/>
    <w:rsid w:val="00BF5BD6"/>
    <w:rsid w:val="00C03E31"/>
    <w:rsid w:val="00C11332"/>
    <w:rsid w:val="00C1671B"/>
    <w:rsid w:val="00C3204F"/>
    <w:rsid w:val="00C33E72"/>
    <w:rsid w:val="00C354B2"/>
    <w:rsid w:val="00C35554"/>
    <w:rsid w:val="00C42709"/>
    <w:rsid w:val="00C533CC"/>
    <w:rsid w:val="00C56F3A"/>
    <w:rsid w:val="00C5751C"/>
    <w:rsid w:val="00C61BFC"/>
    <w:rsid w:val="00C62B23"/>
    <w:rsid w:val="00C62B85"/>
    <w:rsid w:val="00C65438"/>
    <w:rsid w:val="00C87156"/>
    <w:rsid w:val="00C87FD8"/>
    <w:rsid w:val="00C91381"/>
    <w:rsid w:val="00C91CBB"/>
    <w:rsid w:val="00C973FB"/>
    <w:rsid w:val="00CB4E70"/>
    <w:rsid w:val="00CB7DE8"/>
    <w:rsid w:val="00CC09B6"/>
    <w:rsid w:val="00CC666F"/>
    <w:rsid w:val="00CD1E3F"/>
    <w:rsid w:val="00CE44F6"/>
    <w:rsid w:val="00CE49DA"/>
    <w:rsid w:val="00CE7B61"/>
    <w:rsid w:val="00D00095"/>
    <w:rsid w:val="00D114F0"/>
    <w:rsid w:val="00D20620"/>
    <w:rsid w:val="00D254F7"/>
    <w:rsid w:val="00D26091"/>
    <w:rsid w:val="00D2685C"/>
    <w:rsid w:val="00D27ADF"/>
    <w:rsid w:val="00D34E7C"/>
    <w:rsid w:val="00D35489"/>
    <w:rsid w:val="00D36AFE"/>
    <w:rsid w:val="00D43AF6"/>
    <w:rsid w:val="00D45997"/>
    <w:rsid w:val="00D51276"/>
    <w:rsid w:val="00D7035F"/>
    <w:rsid w:val="00D707B1"/>
    <w:rsid w:val="00D846E1"/>
    <w:rsid w:val="00DA634F"/>
    <w:rsid w:val="00DA65AC"/>
    <w:rsid w:val="00DB1913"/>
    <w:rsid w:val="00DC410D"/>
    <w:rsid w:val="00DC5A81"/>
    <w:rsid w:val="00DC68CA"/>
    <w:rsid w:val="00DC7CBA"/>
    <w:rsid w:val="00DD41BC"/>
    <w:rsid w:val="00DD73B7"/>
    <w:rsid w:val="00DE27F5"/>
    <w:rsid w:val="00DF28BC"/>
    <w:rsid w:val="00DF34B9"/>
    <w:rsid w:val="00E01053"/>
    <w:rsid w:val="00E07ACF"/>
    <w:rsid w:val="00E331A1"/>
    <w:rsid w:val="00E33202"/>
    <w:rsid w:val="00E336A9"/>
    <w:rsid w:val="00E472B1"/>
    <w:rsid w:val="00E50624"/>
    <w:rsid w:val="00E568DF"/>
    <w:rsid w:val="00E64269"/>
    <w:rsid w:val="00E64EA4"/>
    <w:rsid w:val="00E67DBE"/>
    <w:rsid w:val="00E82267"/>
    <w:rsid w:val="00E84788"/>
    <w:rsid w:val="00E853CE"/>
    <w:rsid w:val="00E867B6"/>
    <w:rsid w:val="00E95BFD"/>
    <w:rsid w:val="00EA010F"/>
    <w:rsid w:val="00ED1986"/>
    <w:rsid w:val="00ED1B63"/>
    <w:rsid w:val="00ED3C1F"/>
    <w:rsid w:val="00ED4085"/>
    <w:rsid w:val="00ED420E"/>
    <w:rsid w:val="00ED6FBE"/>
    <w:rsid w:val="00EE2F57"/>
    <w:rsid w:val="00EF4C34"/>
    <w:rsid w:val="00EF77C6"/>
    <w:rsid w:val="00F05438"/>
    <w:rsid w:val="00F05EB3"/>
    <w:rsid w:val="00F1361C"/>
    <w:rsid w:val="00F156F0"/>
    <w:rsid w:val="00F160C7"/>
    <w:rsid w:val="00F2408F"/>
    <w:rsid w:val="00F240E9"/>
    <w:rsid w:val="00F36D8F"/>
    <w:rsid w:val="00F417B1"/>
    <w:rsid w:val="00F45853"/>
    <w:rsid w:val="00F50FDE"/>
    <w:rsid w:val="00F602DF"/>
    <w:rsid w:val="00F754A1"/>
    <w:rsid w:val="00F81FD9"/>
    <w:rsid w:val="00F841AA"/>
    <w:rsid w:val="00F84A94"/>
    <w:rsid w:val="00F87E96"/>
    <w:rsid w:val="00FA23E8"/>
    <w:rsid w:val="00FA2C01"/>
    <w:rsid w:val="00FC3968"/>
    <w:rsid w:val="00FD2B3B"/>
    <w:rsid w:val="00FD3CC1"/>
    <w:rsid w:val="00FF0F06"/>
    <w:rsid w:val="00FF1E02"/>
    <w:rsid w:val="00FF30B4"/>
    <w:rsid w:val="01297DAE"/>
    <w:rsid w:val="02A3011A"/>
    <w:rsid w:val="040A2CF3"/>
    <w:rsid w:val="04330082"/>
    <w:rsid w:val="053A62B5"/>
    <w:rsid w:val="084F33CB"/>
    <w:rsid w:val="08616874"/>
    <w:rsid w:val="0A2032A3"/>
    <w:rsid w:val="0A7A3506"/>
    <w:rsid w:val="0B8A37D8"/>
    <w:rsid w:val="0EC73DD5"/>
    <w:rsid w:val="10C055FF"/>
    <w:rsid w:val="118107EC"/>
    <w:rsid w:val="11B423B2"/>
    <w:rsid w:val="11DD6519"/>
    <w:rsid w:val="13D420F9"/>
    <w:rsid w:val="14050E20"/>
    <w:rsid w:val="165D5225"/>
    <w:rsid w:val="16BB723D"/>
    <w:rsid w:val="18015F3F"/>
    <w:rsid w:val="19526877"/>
    <w:rsid w:val="19875E05"/>
    <w:rsid w:val="1BBC25E1"/>
    <w:rsid w:val="1BE8440E"/>
    <w:rsid w:val="1D0D4C60"/>
    <w:rsid w:val="1D155CEE"/>
    <w:rsid w:val="1EFA1543"/>
    <w:rsid w:val="20F57F95"/>
    <w:rsid w:val="22D10FC8"/>
    <w:rsid w:val="23D718E0"/>
    <w:rsid w:val="240371BF"/>
    <w:rsid w:val="25473008"/>
    <w:rsid w:val="25711CC6"/>
    <w:rsid w:val="25C741E6"/>
    <w:rsid w:val="27842671"/>
    <w:rsid w:val="27A961FC"/>
    <w:rsid w:val="281F501A"/>
    <w:rsid w:val="294F4B81"/>
    <w:rsid w:val="29DD3F3B"/>
    <w:rsid w:val="29FD04D3"/>
    <w:rsid w:val="2ABE7A3E"/>
    <w:rsid w:val="2AD30D0E"/>
    <w:rsid w:val="2B416441"/>
    <w:rsid w:val="2C251BC9"/>
    <w:rsid w:val="2C83526D"/>
    <w:rsid w:val="2CA234A8"/>
    <w:rsid w:val="2D796EAC"/>
    <w:rsid w:val="2E220AB6"/>
    <w:rsid w:val="2EB879F5"/>
    <w:rsid w:val="2ECD27D0"/>
    <w:rsid w:val="2EFA178C"/>
    <w:rsid w:val="2F6F1AD9"/>
    <w:rsid w:val="30B46D73"/>
    <w:rsid w:val="313C1456"/>
    <w:rsid w:val="319F7F4E"/>
    <w:rsid w:val="365E0AB4"/>
    <w:rsid w:val="379E73FF"/>
    <w:rsid w:val="383D272C"/>
    <w:rsid w:val="39785A2E"/>
    <w:rsid w:val="39AE70AB"/>
    <w:rsid w:val="3A073743"/>
    <w:rsid w:val="3A560D0F"/>
    <w:rsid w:val="3BDB4052"/>
    <w:rsid w:val="3C0C0783"/>
    <w:rsid w:val="3F9F3A96"/>
    <w:rsid w:val="43544E16"/>
    <w:rsid w:val="45F36B68"/>
    <w:rsid w:val="487321E2"/>
    <w:rsid w:val="48BF60AB"/>
    <w:rsid w:val="493C27E9"/>
    <w:rsid w:val="496F39ED"/>
    <w:rsid w:val="49FF41D3"/>
    <w:rsid w:val="4B7D6ED4"/>
    <w:rsid w:val="4BBE1B32"/>
    <w:rsid w:val="4BE068DB"/>
    <w:rsid w:val="4BF6002B"/>
    <w:rsid w:val="4CB16E35"/>
    <w:rsid w:val="4D2717ED"/>
    <w:rsid w:val="4D5705AE"/>
    <w:rsid w:val="4DBA115E"/>
    <w:rsid w:val="4ECE2238"/>
    <w:rsid w:val="51DB4B86"/>
    <w:rsid w:val="548E3F00"/>
    <w:rsid w:val="54AB6860"/>
    <w:rsid w:val="55333C3E"/>
    <w:rsid w:val="582E57DE"/>
    <w:rsid w:val="5940300A"/>
    <w:rsid w:val="59EC3BA2"/>
    <w:rsid w:val="5E802B0B"/>
    <w:rsid w:val="5EE70DDC"/>
    <w:rsid w:val="5F6362A0"/>
    <w:rsid w:val="5FA62A45"/>
    <w:rsid w:val="606A75CF"/>
    <w:rsid w:val="608A3672"/>
    <w:rsid w:val="6448728C"/>
    <w:rsid w:val="64C5396E"/>
    <w:rsid w:val="64CA39A1"/>
    <w:rsid w:val="66F60739"/>
    <w:rsid w:val="676A6106"/>
    <w:rsid w:val="69630ADE"/>
    <w:rsid w:val="6ACD0E86"/>
    <w:rsid w:val="6B79100E"/>
    <w:rsid w:val="6C4A05C8"/>
    <w:rsid w:val="6D3B1A89"/>
    <w:rsid w:val="6DAD31F1"/>
    <w:rsid w:val="6FEC0A99"/>
    <w:rsid w:val="715911B4"/>
    <w:rsid w:val="71BF4EC2"/>
    <w:rsid w:val="72734D90"/>
    <w:rsid w:val="7412278C"/>
    <w:rsid w:val="74D07EF1"/>
    <w:rsid w:val="764741E2"/>
    <w:rsid w:val="79E7B28D"/>
    <w:rsid w:val="7BDD1145"/>
    <w:rsid w:val="7C8E4B17"/>
    <w:rsid w:val="7CAB7FBA"/>
    <w:rsid w:val="7D0F3580"/>
    <w:rsid w:val="7EEB2270"/>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link w:val="36"/>
    <w:qFormat/>
    <w:uiPriority w:val="99"/>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5"/>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5"/>
    <w:qFormat/>
    <w:uiPriority w:val="0"/>
    <w:pPr>
      <w:ind w:firstLine="420" w:firstLineChars="100"/>
    </w:pPr>
  </w:style>
  <w:style w:type="paragraph" w:styleId="15">
    <w:name w:val="Body Text First Indent 2"/>
    <w:basedOn w:val="6"/>
    <w:next w:val="14"/>
    <w:link w:val="37"/>
    <w:qFormat/>
    <w:uiPriority w:val="99"/>
    <w:pPr>
      <w:ind w:firstLine="420" w:firstLine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800080"/>
      <w:u w:val="single"/>
    </w:rPr>
  </w:style>
  <w:style w:type="character" w:styleId="20">
    <w:name w:val="Hyperlink"/>
    <w:basedOn w:val="17"/>
    <w:unhideWhenUsed/>
    <w:qFormat/>
    <w:uiPriority w:val="99"/>
    <w:rPr>
      <w:color w:val="0000FF" w:themeColor="hyperlink"/>
      <w:u w:val="single"/>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纯文本 Char"/>
    <w:basedOn w:val="17"/>
    <w:link w:val="8"/>
    <w:qFormat/>
    <w:uiPriority w:val="99"/>
    <w:rPr>
      <w:rFonts w:ascii="宋体" w:hAnsi="Courier New" w:eastAsia="仿宋_GB2312" w:cs="Courier New"/>
      <w:b/>
      <w:kern w:val="2"/>
      <w:sz w:val="32"/>
      <w:szCs w:val="21"/>
    </w:rPr>
  </w:style>
  <w:style w:type="character" w:customStyle="1" w:styleId="36">
    <w:name w:val="正文文本缩进 Char"/>
    <w:basedOn w:val="17"/>
    <w:link w:val="6"/>
    <w:qFormat/>
    <w:uiPriority w:val="99"/>
    <w:rPr>
      <w:rFonts w:ascii="Times New Roman" w:hAnsi="Times New Roman" w:eastAsia="宋体" w:cs="Times New Roman"/>
      <w:kern w:val="2"/>
      <w:sz w:val="21"/>
      <w:szCs w:val="24"/>
    </w:rPr>
  </w:style>
  <w:style w:type="character" w:customStyle="1" w:styleId="37">
    <w:name w:val="正文首行缩进 2 Char"/>
    <w:basedOn w:val="36"/>
    <w:link w:val="15"/>
    <w:qFormat/>
    <w:uiPriority w:val="99"/>
  </w:style>
  <w:style w:type="paragraph" w:customStyle="1" w:styleId="38">
    <w:name w:val="xl65"/>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c:v>
                </c:pt>
                <c:pt idx="1">
                  <c:v>事业收入</c:v>
                </c:pt>
                <c:pt idx="2">
                  <c:v>其他收入</c:v>
                </c:pt>
              </c:strCache>
            </c:strRef>
          </c:cat>
          <c:val>
            <c:numRef>
              <c:f>Sheet1!$B$2:$B$4</c:f>
              <c:numCache>
                <c:formatCode>0%</c:formatCode>
                <c:ptCount val="3"/>
                <c:pt idx="0">
                  <c:v>0.26</c:v>
                </c:pt>
                <c:pt idx="1">
                  <c:v>0.640000000000001</c:v>
                </c:pt>
                <c:pt idx="2">
                  <c:v>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c:formatCode>
                <c:ptCount val="2"/>
                <c:pt idx="0">
                  <c:v>0.99</c:v>
                </c:pt>
                <c:pt idx="1">
                  <c:v>0.01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卫生健康支出</c:v>
                </c:pt>
                <c:pt idx="2">
                  <c:v>农林水支出</c:v>
                </c:pt>
              </c:strCache>
            </c:strRef>
          </c:cat>
          <c:val>
            <c:numRef>
              <c:f>Sheet1!$B$2:$B$4</c:f>
              <c:numCache>
                <c:formatCode>0.00%</c:formatCode>
                <c:ptCount val="3"/>
                <c:pt idx="0">
                  <c:v>0.395</c:v>
                </c:pt>
                <c:pt idx="1">
                  <c:v>0.911</c:v>
                </c:pt>
                <c:pt idx="2">
                  <c:v>0.005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“三公”经费支出决算</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公务接待支出决算</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DCAB-49EA-4ADF-8113-A86429C7327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14078</Words>
  <Characters>16251</Characters>
  <Lines>65</Lines>
  <Paragraphs>44</Paragraphs>
  <TotalTime>5</TotalTime>
  <ScaleCrop>false</ScaleCrop>
  <LinksUpToDate>false</LinksUpToDate>
  <CharactersWithSpaces>16748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2023-10-11T06:05:00Z</dcterms:created>
  <dc:creator>曹颖</dc:creator>
  <cp:lastModifiedBy>NO LOVE</cp:lastModifiedBy>
  <cp:lastPrinted>2023-07-31T02:35:00Z</cp:lastPrinted>
  <dcterms:modified xsi:type="dcterms:W3CDTF">2023-10-29T03:16:53Z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74234C246E094DB1BF16D2461FB94583</vt:lpwstr>
  </property>
</Properties>
</file>