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hint="default" w:ascii="方正小标宋简体" w:hAnsi="宋体" w:eastAsia="方正小标宋简体"/>
          <w:szCs w:val="21"/>
          <w:lang w:val="en-US" w:eastAsia="zh-CN"/>
        </w:rPr>
      </w:pPr>
      <w:bookmarkStart w:id="0" w:name="_Toc15306267"/>
      <w:bookmarkStart w:id="102" w:name="_GoBack"/>
      <w:bookmarkEnd w:id="102"/>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475"/>
      <w:bookmarkStart w:id="3" w:name="_Toc15377193"/>
      <w:bookmarkStart w:id="4" w:name="_Toc15377425"/>
      <w:bookmarkStart w:id="5" w:name="_Toc3624"/>
      <w:bookmarkStart w:id="6" w:name="_Toc15396597"/>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7426"/>
      <w:bookmarkStart w:id="8" w:name="_Toc21340"/>
      <w:bookmarkStart w:id="9" w:name="_Toc15396598"/>
      <w:bookmarkStart w:id="10" w:name="_Toc15396476"/>
      <w:bookmarkStart w:id="11" w:name="_Toc15377194"/>
      <w:bookmarkStart w:id="12" w:name="_Toc15378442"/>
      <w:r>
        <w:rPr>
          <w:rFonts w:hint="eastAsia" w:ascii="方正小标宋简体" w:hAnsi="方正小标宋简体" w:eastAsia="方正小标宋简体" w:cs="方正小标宋简体"/>
          <w:sz w:val="72"/>
          <w:szCs w:val="72"/>
        </w:rPr>
        <w:t>剑阁县</w:t>
      </w:r>
      <w:bookmarkEnd w:id="0"/>
      <w:bookmarkStart w:id="13" w:name="_Toc15306268"/>
      <w:r>
        <w:rPr>
          <w:rFonts w:hint="eastAsia" w:ascii="方正小标宋简体" w:hAnsi="方正小标宋简体" w:eastAsia="方正小标宋简体" w:cs="方正小标宋简体"/>
          <w:sz w:val="72"/>
          <w:szCs w:val="72"/>
          <w:lang w:val="en-US" w:eastAsia="zh-CN"/>
        </w:rPr>
        <w:t>白龙镇中心卫生院</w:t>
      </w:r>
      <w:r>
        <w:rPr>
          <w:rFonts w:hint="eastAsia" w:ascii="方正小标宋简体" w:hAnsi="方正小标宋简体" w:eastAsia="方正小标宋简体" w:cs="方正小标宋简体"/>
          <w:sz w:val="72"/>
          <w:szCs w:val="72"/>
        </w:rPr>
        <w:t>单位决算</w:t>
      </w:r>
      <w:bookmarkEnd w:id="7"/>
      <w:bookmarkEnd w:id="8"/>
      <w:bookmarkEnd w:id="9"/>
      <w:bookmarkEnd w:id="10"/>
      <w:bookmarkEnd w:id="11"/>
      <w:bookmarkEnd w:id="12"/>
      <w:bookmarkEnd w:id="13"/>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公开时间：2023年</w:t>
      </w:r>
      <w:r>
        <w:rPr>
          <w:rFonts w:hint="eastAsia"/>
          <w:lang w:val="en-US" w:eastAsia="zh-CN"/>
        </w:rPr>
        <w:t>10</w:t>
      </w:r>
      <w:r>
        <w:rPr>
          <w:rFonts w:hint="eastAsia"/>
        </w:rPr>
        <w:t xml:space="preserve"> 月</w:t>
      </w:r>
      <w:r>
        <w:rPr>
          <w:rFonts w:hint="eastAsia"/>
          <w:lang w:val="en-US" w:eastAsia="zh-CN"/>
        </w:rPr>
        <w:t>29</w:t>
      </w:r>
      <w:r>
        <w:rPr>
          <w:rFonts w:hint="eastAsia"/>
        </w:rPr>
        <w:t>日</w:t>
      </w:r>
    </w:p>
    <w:sdt>
      <w:sdtPr>
        <w:rPr>
          <w:rFonts w:ascii="宋体" w:hAnsi="宋体" w:eastAsia="宋体" w:cs="Times New Roman"/>
          <w:kern w:val="2"/>
          <w:sz w:val="21"/>
          <w:szCs w:val="24"/>
          <w:lang w:val="en-US" w:eastAsia="zh-CN" w:bidi="ar-SA"/>
        </w:rPr>
        <w:id w:val="147465276"/>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fldChar w:fldCharType="begin"/>
          </w:r>
          <w:r>
            <w:instrText xml:space="preserve">TOC \o "1-2" \h \u </w:instrText>
          </w:r>
          <w:r>
            <w:fldChar w:fldCharType="separate"/>
          </w:r>
        </w:p>
        <w:p>
          <w:pPr>
            <w:pStyle w:val="13"/>
            <w:tabs>
              <w:tab w:val="right" w:leader="dot" w:pos="8306"/>
              <w:tab w:val="clear" w:pos="8296"/>
            </w:tabs>
          </w:pPr>
          <w:r>
            <w:fldChar w:fldCharType="begin"/>
          </w:r>
          <w:r>
            <w:instrText xml:space="preserve"> HYPERLINK \l _Toc30181 </w:instrText>
          </w:r>
          <w: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_Toc30181 </w:instrText>
          </w:r>
          <w:r>
            <w:fldChar w:fldCharType="separate"/>
          </w:r>
          <w:r>
            <w:t>3</w:t>
          </w:r>
          <w:r>
            <w:fldChar w:fldCharType="end"/>
          </w:r>
          <w:r>
            <w:fldChar w:fldCharType="end"/>
          </w:r>
        </w:p>
        <w:p>
          <w:pPr>
            <w:pStyle w:val="14"/>
            <w:tabs>
              <w:tab w:val="right" w:leader="dot" w:pos="8306"/>
              <w:tab w:val="clear" w:pos="8296"/>
            </w:tabs>
          </w:pPr>
          <w:r>
            <w:fldChar w:fldCharType="begin"/>
          </w:r>
          <w:r>
            <w:instrText xml:space="preserve"> HYPERLINK \l _Toc14411 </w:instrText>
          </w:r>
          <w:r>
            <w:fldChar w:fldCharType="separate"/>
          </w:r>
          <w:r>
            <w:rPr>
              <w:rFonts w:hint="default" w:ascii="黑体" w:hAnsi="黑体" w:eastAsia="黑体"/>
              <w:szCs w:val="32"/>
            </w:rPr>
            <w:t>一、</w:t>
          </w:r>
          <w:r>
            <w:rPr>
              <w:rFonts w:hint="eastAsia" w:ascii="黑体" w:hAnsi="黑体" w:eastAsia="黑体"/>
              <w:szCs w:val="32"/>
              <w:lang w:val="en-US" w:eastAsia="zh-CN"/>
            </w:rPr>
            <w:t>主要职责及重点工作</w:t>
          </w:r>
          <w:r>
            <w:tab/>
          </w:r>
          <w:r>
            <w:fldChar w:fldCharType="begin"/>
          </w:r>
          <w:r>
            <w:instrText xml:space="preserve"> PAGEREF _Toc14411 </w:instrText>
          </w:r>
          <w:r>
            <w:fldChar w:fldCharType="separate"/>
          </w:r>
          <w:r>
            <w:t>3</w:t>
          </w:r>
          <w:r>
            <w:fldChar w:fldCharType="end"/>
          </w:r>
          <w:r>
            <w:fldChar w:fldCharType="end"/>
          </w:r>
        </w:p>
        <w:p>
          <w:pPr>
            <w:pStyle w:val="14"/>
            <w:tabs>
              <w:tab w:val="right" w:leader="dot" w:pos="8306"/>
              <w:tab w:val="clear" w:pos="8296"/>
            </w:tabs>
          </w:pPr>
          <w:r>
            <w:fldChar w:fldCharType="begin"/>
          </w:r>
          <w:r>
            <w:instrText xml:space="preserve"> HYPERLINK \l _Toc12746 </w:instrText>
          </w:r>
          <w:r>
            <w:fldChar w:fldCharType="separate"/>
          </w:r>
          <w:r>
            <w:rPr>
              <w:rFonts w:hint="eastAsia" w:ascii="黑体" w:hAnsi="黑体" w:eastAsia="黑体"/>
              <w:lang w:val="en-US" w:eastAsia="zh-CN"/>
            </w:rPr>
            <w:t>二、</w:t>
          </w:r>
          <w:r>
            <w:rPr>
              <w:rFonts w:hint="eastAsia" w:ascii="黑体" w:hAnsi="黑体" w:eastAsia="黑体"/>
            </w:rPr>
            <w:t>机构设置</w:t>
          </w:r>
          <w:r>
            <w:tab/>
          </w:r>
          <w:r>
            <w:fldChar w:fldCharType="begin"/>
          </w:r>
          <w:r>
            <w:instrText xml:space="preserve"> PAGEREF _Toc12746 </w:instrText>
          </w:r>
          <w:r>
            <w:fldChar w:fldCharType="separate"/>
          </w:r>
          <w:r>
            <w:t>3</w:t>
          </w:r>
          <w:r>
            <w:fldChar w:fldCharType="end"/>
          </w:r>
          <w:r>
            <w:fldChar w:fldCharType="end"/>
          </w:r>
        </w:p>
        <w:p>
          <w:pPr>
            <w:pStyle w:val="13"/>
            <w:tabs>
              <w:tab w:val="right" w:leader="dot" w:pos="8306"/>
              <w:tab w:val="clear" w:pos="8296"/>
            </w:tabs>
          </w:pPr>
          <w:r>
            <w:fldChar w:fldCharType="begin"/>
          </w:r>
          <w:r>
            <w:instrText xml:space="preserve"> HYPERLINK \l _Toc30106 </w:instrText>
          </w:r>
          <w:r>
            <w:fldChar w:fldCharType="separate"/>
          </w:r>
          <w:r>
            <w:rPr>
              <w:rFonts w:hint="eastAsia" w:ascii="黑体" w:hAnsi="黑体" w:eastAsia="黑体"/>
            </w:rPr>
            <w:t>第二部分 2022年度</w:t>
          </w:r>
          <w:r>
            <w:rPr>
              <w:rFonts w:hint="eastAsia" w:ascii="黑体" w:hAnsi="黑体" w:eastAsia="黑体"/>
              <w:bCs/>
            </w:rPr>
            <w:t>单位决算情况说明</w:t>
          </w:r>
          <w:r>
            <w:tab/>
          </w:r>
          <w:r>
            <w:fldChar w:fldCharType="begin"/>
          </w:r>
          <w:r>
            <w:instrText xml:space="preserve"> PAGEREF _Toc30106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_Toc518 </w:instrText>
          </w:r>
          <w:r>
            <w:fldChar w:fldCharType="separate"/>
          </w:r>
          <w:r>
            <w:rPr>
              <w:rFonts w:hint="eastAsia" w:ascii="黑体" w:hAnsi="黑体" w:eastAsia="黑体"/>
              <w:szCs w:val="32"/>
              <w:lang w:val="en-US" w:eastAsia="zh-CN"/>
            </w:rPr>
            <w:t>一、</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_Toc518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_Toc11079 </w:instrText>
          </w:r>
          <w:r>
            <w:fldChar w:fldCharType="separate"/>
          </w:r>
          <w:r>
            <w:rPr>
              <w:rFonts w:hint="default" w:ascii="黑体" w:hAnsi="黑体" w:eastAsia="黑体"/>
            </w:rPr>
            <w:t>二、</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_Toc11079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_Toc1272 </w:instrText>
          </w:r>
          <w:r>
            <w:fldChar w:fldCharType="separate"/>
          </w:r>
          <w:r>
            <w:rPr>
              <w:rFonts w:hint="default" w:ascii="黑体" w:hAnsi="黑体" w:eastAsia="黑体"/>
            </w:rPr>
            <w:t>三、</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_Toc1272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_Toc9331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_Toc9331 </w:instrText>
          </w:r>
          <w:r>
            <w:fldChar w:fldCharType="separate"/>
          </w:r>
          <w:r>
            <w:t>6</w:t>
          </w:r>
          <w:r>
            <w:fldChar w:fldCharType="end"/>
          </w:r>
          <w:r>
            <w:fldChar w:fldCharType="end"/>
          </w:r>
        </w:p>
        <w:p>
          <w:pPr>
            <w:pStyle w:val="14"/>
            <w:tabs>
              <w:tab w:val="right" w:leader="dot" w:pos="8306"/>
              <w:tab w:val="clear" w:pos="8296"/>
            </w:tabs>
          </w:pPr>
          <w:r>
            <w:fldChar w:fldCharType="begin"/>
          </w:r>
          <w:r>
            <w:instrText xml:space="preserve"> HYPERLINK \l _Toc4460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_Toc4460 </w:instrText>
          </w:r>
          <w:r>
            <w:fldChar w:fldCharType="separate"/>
          </w:r>
          <w:r>
            <w:t>6</w:t>
          </w:r>
          <w:r>
            <w:fldChar w:fldCharType="end"/>
          </w:r>
          <w:r>
            <w:fldChar w:fldCharType="end"/>
          </w:r>
        </w:p>
        <w:p>
          <w:pPr>
            <w:pStyle w:val="14"/>
            <w:tabs>
              <w:tab w:val="right" w:leader="dot" w:pos="8306"/>
              <w:tab w:val="clear" w:pos="8296"/>
            </w:tabs>
          </w:pPr>
          <w:r>
            <w:fldChar w:fldCharType="begin"/>
          </w:r>
          <w:r>
            <w:instrText xml:space="preserve"> HYPERLINK \l _Toc10913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_Toc10913 </w:instrText>
          </w:r>
          <w:r>
            <w:fldChar w:fldCharType="separate"/>
          </w:r>
          <w:r>
            <w:t>8</w:t>
          </w:r>
          <w:r>
            <w:fldChar w:fldCharType="end"/>
          </w:r>
          <w:r>
            <w:fldChar w:fldCharType="end"/>
          </w:r>
        </w:p>
        <w:p>
          <w:pPr>
            <w:pStyle w:val="14"/>
            <w:tabs>
              <w:tab w:val="right" w:leader="dot" w:pos="8306"/>
              <w:tab w:val="clear" w:pos="8296"/>
            </w:tabs>
          </w:pPr>
          <w:r>
            <w:fldChar w:fldCharType="begin"/>
          </w:r>
          <w:r>
            <w:instrText xml:space="preserve"> HYPERLINK \l _Toc30740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_Toc30740 </w:instrText>
          </w:r>
          <w:r>
            <w:fldChar w:fldCharType="separate"/>
          </w:r>
          <w:r>
            <w:t>8</w:t>
          </w:r>
          <w:r>
            <w:fldChar w:fldCharType="end"/>
          </w:r>
          <w:r>
            <w:fldChar w:fldCharType="end"/>
          </w:r>
        </w:p>
        <w:p>
          <w:pPr>
            <w:pStyle w:val="14"/>
            <w:tabs>
              <w:tab w:val="right" w:leader="dot" w:pos="8306"/>
              <w:tab w:val="clear" w:pos="8296"/>
            </w:tabs>
          </w:pPr>
          <w:r>
            <w:fldChar w:fldCharType="begin"/>
          </w:r>
          <w:r>
            <w:instrText xml:space="preserve"> HYPERLINK \l _Toc22584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_Toc22584 </w:instrText>
          </w:r>
          <w:r>
            <w:fldChar w:fldCharType="separate"/>
          </w:r>
          <w:r>
            <w:t>9</w:t>
          </w:r>
          <w:r>
            <w:fldChar w:fldCharType="end"/>
          </w:r>
          <w:r>
            <w:fldChar w:fldCharType="end"/>
          </w:r>
        </w:p>
        <w:p>
          <w:pPr>
            <w:pStyle w:val="14"/>
            <w:tabs>
              <w:tab w:val="right" w:leader="dot" w:pos="8306"/>
              <w:tab w:val="clear" w:pos="8296"/>
            </w:tabs>
          </w:pPr>
          <w:r>
            <w:fldChar w:fldCharType="begin"/>
          </w:r>
          <w:r>
            <w:instrText xml:space="preserve"> HYPERLINK \l _Toc25413 </w:instrText>
          </w:r>
          <w:r>
            <w:fldChar w:fldCharType="separate"/>
          </w:r>
          <w:r>
            <w:rPr>
              <w:rFonts w:hint="eastAsia" w:ascii="黑体" w:hAnsi="黑体" w:eastAsia="黑体"/>
            </w:rPr>
            <w:t>九、国有资本经营预算支出决算情况说明</w:t>
          </w:r>
          <w:r>
            <w:tab/>
          </w:r>
          <w:r>
            <w:fldChar w:fldCharType="begin"/>
          </w:r>
          <w:r>
            <w:instrText xml:space="preserve"> PAGEREF _Toc25413 </w:instrText>
          </w:r>
          <w:r>
            <w:fldChar w:fldCharType="separate"/>
          </w:r>
          <w:r>
            <w:t>10</w:t>
          </w:r>
          <w:r>
            <w:fldChar w:fldCharType="end"/>
          </w:r>
          <w:r>
            <w:fldChar w:fldCharType="end"/>
          </w:r>
        </w:p>
        <w:p>
          <w:pPr>
            <w:pStyle w:val="14"/>
            <w:tabs>
              <w:tab w:val="right" w:leader="dot" w:pos="8306"/>
              <w:tab w:val="clear" w:pos="8296"/>
            </w:tabs>
          </w:pPr>
          <w:r>
            <w:fldChar w:fldCharType="begin"/>
          </w:r>
          <w:r>
            <w:instrText xml:space="preserve"> HYPERLINK \l _Toc28895 </w:instrText>
          </w:r>
          <w:r>
            <w:fldChar w:fldCharType="separate"/>
          </w:r>
          <w:r>
            <w:rPr>
              <w:rFonts w:hint="eastAsia" w:ascii="黑体" w:hAnsi="黑体" w:eastAsia="黑体"/>
            </w:rPr>
            <w:t>十、其他重要事项的情况说明</w:t>
          </w:r>
          <w:r>
            <w:tab/>
          </w:r>
          <w:r>
            <w:fldChar w:fldCharType="begin"/>
          </w:r>
          <w:r>
            <w:instrText xml:space="preserve"> PAGEREF _Toc28895 </w:instrText>
          </w:r>
          <w:r>
            <w:fldChar w:fldCharType="separate"/>
          </w:r>
          <w:r>
            <w:t>10</w:t>
          </w:r>
          <w:r>
            <w:fldChar w:fldCharType="end"/>
          </w:r>
          <w:r>
            <w:fldChar w:fldCharType="end"/>
          </w:r>
        </w:p>
        <w:p>
          <w:pPr>
            <w:pStyle w:val="13"/>
            <w:tabs>
              <w:tab w:val="right" w:leader="dot" w:pos="8306"/>
              <w:tab w:val="clear" w:pos="8296"/>
            </w:tabs>
          </w:pPr>
          <w:r>
            <w:fldChar w:fldCharType="begin"/>
          </w:r>
          <w:r>
            <w:instrText xml:space="preserve"> HYPERLINK \l _Toc26687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_Toc26687 </w:instrText>
          </w:r>
          <w:r>
            <w:fldChar w:fldCharType="separate"/>
          </w:r>
          <w:r>
            <w:t>11</w:t>
          </w:r>
          <w:r>
            <w:fldChar w:fldCharType="end"/>
          </w:r>
          <w:r>
            <w:fldChar w:fldCharType="end"/>
          </w:r>
        </w:p>
        <w:p>
          <w:pPr>
            <w:pStyle w:val="13"/>
            <w:tabs>
              <w:tab w:val="right" w:leader="dot" w:pos="8306"/>
              <w:tab w:val="clear" w:pos="8296"/>
            </w:tabs>
          </w:pPr>
          <w:r>
            <w:fldChar w:fldCharType="begin"/>
          </w:r>
          <w:r>
            <w:instrText xml:space="preserve"> HYPERLINK \l _Toc23620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_Toc23620 </w:instrText>
          </w:r>
          <w:r>
            <w:fldChar w:fldCharType="separate"/>
          </w:r>
          <w:r>
            <w:t>14</w:t>
          </w:r>
          <w:r>
            <w:fldChar w:fldCharType="end"/>
          </w:r>
          <w:r>
            <w:fldChar w:fldCharType="end"/>
          </w:r>
        </w:p>
        <w:p>
          <w:pPr>
            <w:pStyle w:val="13"/>
            <w:tabs>
              <w:tab w:val="right" w:leader="dot" w:pos="8306"/>
              <w:tab w:val="clear" w:pos="8296"/>
            </w:tabs>
          </w:pPr>
          <w:r>
            <w:fldChar w:fldCharType="begin"/>
          </w:r>
          <w:r>
            <w:instrText xml:space="preserve"> HYPERLINK \l _Toc14305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_Toc14305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_Toc13055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_Toc13055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_Toc26852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_Toc26852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_Toc28843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_Toc28843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_Toc16227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_Toc16227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_Toc14784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_Toc14784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_Toc3340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_Toc3340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_Toc10803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_Toc10803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_Toc13068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_Toc13068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_Toc18240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_Toc18240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_Toc20311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_Toc20311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_Toc13869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_Toc13869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_Toc23752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_Toc23752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_Toc3663 </w:instrText>
          </w:r>
          <w:r>
            <w:fldChar w:fldCharType="separate"/>
          </w:r>
          <w:r>
            <w:rPr>
              <w:rFonts w:hint="eastAsia" w:ascii="仿宋" w:hAnsi="仿宋" w:eastAsia="仿宋"/>
              <w:bCs w:val="0"/>
            </w:rPr>
            <w:t>十三、财政拨款“三公”经费支出决算表</w:t>
          </w:r>
          <w:r>
            <w:tab/>
          </w:r>
          <w:r>
            <w:fldChar w:fldCharType="begin"/>
          </w:r>
          <w:r>
            <w:instrText xml:space="preserve"> PAGEREF _Toc3663 </w:instrText>
          </w:r>
          <w:r>
            <w:fldChar w:fldCharType="separate"/>
          </w:r>
          <w:r>
            <w:t>21</w:t>
          </w:r>
          <w:r>
            <w:fldChar w:fldCharType="end"/>
          </w:r>
          <w:r>
            <w:fldChar w:fldCharType="end"/>
          </w:r>
        </w:p>
        <w:p>
          <w:r>
            <w:fldChar w:fldCharType="end"/>
          </w:r>
        </w:p>
      </w:sdtContent>
    </w:sdt>
    <w:p>
      <w:pPr>
        <w:pStyle w:val="3"/>
        <w:jc w:val="center"/>
        <w:rPr>
          <w:rFonts w:hint="eastAsia" w:ascii="黑体" w:hAnsi="黑体" w:eastAsia="黑体"/>
          <w:b w:val="0"/>
        </w:rPr>
        <w:sectPr>
          <w:headerReference r:id="rId3" w:type="default"/>
          <w:pgSz w:w="11906" w:h="16838"/>
          <w:pgMar w:top="1440" w:right="1800" w:bottom="1440" w:left="1800" w:header="851" w:footer="992" w:gutter="0"/>
          <w:pgNumType w:start="1"/>
          <w:cols w:space="425" w:num="1"/>
          <w:titlePg/>
          <w:docGrid w:type="lines" w:linePitch="312" w:charSpace="0"/>
        </w:sectPr>
      </w:pPr>
      <w:bookmarkStart w:id="14" w:name="_Toc15377196"/>
      <w:bookmarkStart w:id="15" w:name="_Toc30181"/>
      <w:bookmarkStart w:id="16" w:name="_Toc15396599"/>
    </w:p>
    <w:p>
      <w:pPr>
        <w:pStyle w:val="3"/>
        <w:jc w:val="center"/>
        <w:rPr>
          <w:rFonts w:ascii="黑体" w:eastAsia="黑体"/>
          <w:sz w:val="32"/>
          <w:szCs w:val="32"/>
        </w:rPr>
      </w:pPr>
      <w:r>
        <w:rPr>
          <w:rFonts w:hint="eastAsia" w:ascii="黑体" w:hAnsi="黑体" w:eastAsia="黑体"/>
          <w:b w:val="0"/>
        </w:rPr>
        <w:t>第一部分 单位</w:t>
      </w:r>
      <w:r>
        <w:rPr>
          <w:rStyle w:val="29"/>
          <w:rFonts w:hint="eastAsia" w:ascii="黑体" w:hAnsi="黑体" w:eastAsia="黑体"/>
          <w:b w:val="0"/>
          <w:bCs w:val="0"/>
        </w:rPr>
        <w:t>概况</w:t>
      </w:r>
      <w:bookmarkEnd w:id="14"/>
      <w:bookmarkEnd w:id="15"/>
      <w:bookmarkEnd w:id="16"/>
    </w:p>
    <w:p>
      <w:pPr>
        <w:pStyle w:val="28"/>
        <w:numPr>
          <w:ilvl w:val="0"/>
          <w:numId w:val="1"/>
        </w:numPr>
        <w:spacing w:line="600" w:lineRule="exact"/>
        <w:ind w:firstLineChars="0"/>
        <w:outlineLvl w:val="1"/>
        <w:rPr>
          <w:rFonts w:hint="eastAsia" w:ascii="黑体" w:hAnsi="黑体" w:eastAsia="黑体"/>
          <w:sz w:val="32"/>
          <w:szCs w:val="32"/>
        </w:rPr>
      </w:pPr>
      <w:bookmarkStart w:id="17" w:name="_Toc14411"/>
      <w:bookmarkStart w:id="18" w:name="_Toc15377197"/>
      <w:bookmarkStart w:id="19" w:name="_Toc15396600"/>
      <w:r>
        <w:rPr>
          <w:rFonts w:hint="eastAsia" w:ascii="黑体" w:hAnsi="黑体" w:eastAsia="黑体"/>
          <w:sz w:val="32"/>
          <w:szCs w:val="32"/>
          <w:lang w:val="en-US" w:eastAsia="zh-CN"/>
        </w:rPr>
        <w:t>主要职责及重点工作</w:t>
      </w:r>
      <w:bookmarkEnd w:id="17"/>
    </w:p>
    <w:p>
      <w:pPr>
        <w:snapToGrid w:val="0"/>
        <w:spacing w:line="520" w:lineRule="exact"/>
        <w:ind w:firstLine="642" w:firstLineChars="200"/>
        <w:rPr>
          <w:rFonts w:hint="default" w:ascii="楷体_GB2312" w:hAnsi="仿宋" w:eastAsia="楷体_GB2312"/>
          <w:b/>
          <w:sz w:val="32"/>
          <w:szCs w:val="32"/>
          <w:lang w:val="en-US" w:eastAsia="zh-CN"/>
        </w:rPr>
      </w:pPr>
      <w:r>
        <w:rPr>
          <w:rFonts w:hint="eastAsia" w:ascii="楷体_GB2312" w:hAnsi="仿宋" w:eastAsia="楷体_GB2312"/>
          <w:b/>
          <w:sz w:val="32"/>
          <w:szCs w:val="32"/>
          <w:lang w:val="en-US" w:eastAsia="zh-CN"/>
        </w:rPr>
        <w:t>（一）单位职责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仿宋_GB2312" w:hAnsi="仿宋_GB2312" w:eastAsia="仿宋_GB2312" w:cs="仿宋_GB2312"/>
          <w:b w:val="0"/>
          <w:bCs/>
          <w:kern w:val="2"/>
          <w:sz w:val="32"/>
          <w:szCs w:val="32"/>
          <w:highlight w:val="none"/>
          <w:lang w:val="en-US" w:eastAsia="zh-CN" w:bidi="ar-SA"/>
        </w:rPr>
        <w:t>1.提供基本医疗服务，使用农村适宜医疗技术和中医药技术，正确处理常见病、多发病，对疑难重症进行恰当的处理并转诊工作。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2.承担辖区内应急救护、转诊服务和康复服务工作。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3.负责辖区内居民健康档案规范健康指导、管理及服务工作。承担组织实施辖区内突发公共卫生事件的报告，并协助处理工作。负责开展妇幼保健、计划生育技术服务和宣传教育工作。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4.负责对村卫生室服务人员提供业务指导和培训工作。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5.承担上级主管部门和上级业务部门安排的工作任务。</w:t>
      </w:r>
    </w:p>
    <w:p>
      <w:pPr>
        <w:snapToGrid w:val="0"/>
        <w:spacing w:line="520" w:lineRule="exact"/>
        <w:ind w:firstLine="642" w:firstLineChars="200"/>
        <w:rPr>
          <w:rFonts w:hint="default" w:ascii="楷体_GB2312" w:hAnsi="仿宋" w:eastAsia="楷体_GB2312"/>
          <w:b/>
          <w:sz w:val="32"/>
          <w:szCs w:val="32"/>
          <w:lang w:val="en-US" w:eastAsia="zh-CN"/>
        </w:rPr>
      </w:pPr>
      <w:r>
        <w:rPr>
          <w:rFonts w:hint="eastAsia" w:ascii="楷体_GB2312" w:hAnsi="仿宋" w:eastAsia="楷体_GB2312"/>
          <w:b/>
          <w:sz w:val="32"/>
          <w:szCs w:val="32"/>
        </w:rPr>
        <w:t>（二）</w:t>
      </w:r>
      <w:r>
        <w:rPr>
          <w:rFonts w:hint="eastAsia" w:ascii="楷体_GB2312" w:hAnsi="仿宋" w:eastAsia="楷体_GB2312"/>
          <w:b/>
          <w:sz w:val="32"/>
          <w:szCs w:val="32"/>
          <w:lang w:val="en-US" w:eastAsia="zh-CN"/>
        </w:rPr>
        <w:t>2022年重点工作完成情况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2022年度，在单位狠抓医疗质量管理的基础上，全年门诊、住院服务量稳步提升，人力资源逐步得到了改善，各项后勤保障措施得到了充实和改善，医疗硬件设施逐步完善，同时我们的综合管理、医疗药事、院感护理等业务工作得到了升华。</w:t>
      </w:r>
    </w:p>
    <w:p>
      <w:pPr>
        <w:pStyle w:val="4"/>
        <w:numPr>
          <w:ilvl w:val="0"/>
          <w:numId w:val="0"/>
        </w:numPr>
        <w:ind w:leftChars="0" w:firstLine="640" w:firstLineChars="200"/>
        <w:rPr>
          <w:rFonts w:hint="eastAsia" w:ascii="黑体" w:hAnsi="黑体" w:eastAsia="黑体"/>
          <w:b w:val="0"/>
        </w:rPr>
      </w:pPr>
      <w:bookmarkStart w:id="20" w:name="_Toc12746"/>
      <w:r>
        <w:rPr>
          <w:rFonts w:hint="eastAsia" w:ascii="黑体" w:hAnsi="黑体" w:eastAsia="黑体"/>
          <w:b w:val="0"/>
          <w:lang w:val="en-US" w:eastAsia="zh-CN"/>
        </w:rPr>
        <w:t>二、</w:t>
      </w:r>
      <w:r>
        <w:rPr>
          <w:rFonts w:hint="eastAsia" w:ascii="黑体" w:hAnsi="黑体" w:eastAsia="黑体"/>
          <w:b w:val="0"/>
        </w:rPr>
        <w:t>机构设置</w:t>
      </w:r>
      <w:bookmarkEnd w:id="18"/>
      <w:bookmarkEnd w:id="19"/>
      <w:bookmarkEnd w:id="2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仿宋_GB2312" w:hAnsi="仿宋_GB2312" w:eastAsia="仿宋_GB2312" w:cs="仿宋_GB2312"/>
          <w:b w:val="0"/>
          <w:bCs/>
          <w:kern w:val="2"/>
          <w:sz w:val="32"/>
          <w:szCs w:val="32"/>
          <w:highlight w:val="none"/>
          <w:lang w:val="en-US" w:eastAsia="zh-CN" w:bidi="ar-SA"/>
        </w:rPr>
        <w:t>剑阁县白龙镇中心卫生院无下属二级单位，无纳入2022年度部门决算编制范围的二级预算单位。下设公卫科、内科、外科、检验科、放射科、彩超室、医务科、财务科、院感科、护理部、办公室等科室。</w:t>
      </w:r>
    </w:p>
    <w:p>
      <w:pPr>
        <w:pStyle w:val="4"/>
        <w:numPr>
          <w:ilvl w:val="0"/>
          <w:numId w:val="2"/>
        </w:numPr>
        <w:ind w:left="0" w:leftChars="0" w:firstLine="0" w:firstLineChars="0"/>
        <w:rPr>
          <w:rFonts w:hint="eastAsia" w:ascii="仿宋" w:hAnsi="仿宋" w:eastAsia="仿宋"/>
          <w:kern w:val="0"/>
          <w:sz w:val="32"/>
          <w:szCs w:val="32"/>
          <w:lang w:val="en-US" w:eastAsia="zh-CN"/>
        </w:rPr>
      </w:pPr>
      <w:r>
        <w:rPr>
          <w:rFonts w:ascii="仿宋" w:hAnsi="仿宋" w:eastAsia="仿宋"/>
          <w:sz w:val="32"/>
          <w:szCs w:val="32"/>
        </w:rPr>
        <w:br w:type="page"/>
      </w:r>
      <w:bookmarkStart w:id="21" w:name="_Toc1835"/>
      <w:bookmarkEnd w:id="21"/>
    </w:p>
    <w:p>
      <w:pPr>
        <w:pStyle w:val="3"/>
        <w:ind w:right="440"/>
        <w:jc w:val="center"/>
      </w:pPr>
      <w:bookmarkStart w:id="22" w:name="_Toc15396602"/>
      <w:bookmarkStart w:id="23" w:name="_Toc30106"/>
      <w:bookmarkStart w:id="24" w:name="_Toc15377204"/>
      <w:r>
        <w:rPr>
          <w:rFonts w:hint="eastAsia" w:ascii="黑体" w:hAnsi="黑体" w:eastAsia="黑体"/>
          <w:b w:val="0"/>
        </w:rPr>
        <w:t>第二部分 2022年度</w:t>
      </w:r>
      <w:r>
        <w:rPr>
          <w:rStyle w:val="29"/>
          <w:rFonts w:hint="eastAsia" w:ascii="黑体" w:hAnsi="黑体" w:eastAsia="黑体"/>
          <w:b w:val="0"/>
          <w:bCs/>
        </w:rPr>
        <w:t>单位决算情况说明</w:t>
      </w:r>
      <w:bookmarkEnd w:id="22"/>
      <w:bookmarkEnd w:id="23"/>
      <w:bookmarkEnd w:id="24"/>
    </w:p>
    <w:p>
      <w:pPr>
        <w:pStyle w:val="28"/>
        <w:numPr>
          <w:ilvl w:val="0"/>
          <w:numId w:val="0"/>
        </w:numPr>
        <w:spacing w:line="600" w:lineRule="exact"/>
        <w:ind w:left="640" w:leftChars="0"/>
        <w:outlineLvl w:val="1"/>
        <w:rPr>
          <w:rStyle w:val="30"/>
          <w:rFonts w:ascii="黑体" w:hAnsi="黑体" w:eastAsia="黑体"/>
          <w:b w:val="0"/>
        </w:rPr>
      </w:pPr>
      <w:bookmarkStart w:id="25" w:name="_Toc518"/>
      <w:bookmarkStart w:id="26" w:name="_Toc15396603"/>
      <w:bookmarkStart w:id="27" w:name="_Toc15377205"/>
      <w:r>
        <w:rPr>
          <w:rFonts w:hint="eastAsia" w:ascii="黑体" w:hAnsi="黑体" w:eastAsia="黑体"/>
          <w:sz w:val="32"/>
          <w:szCs w:val="32"/>
          <w:lang w:val="en-US" w:eastAsia="zh-CN"/>
        </w:rPr>
        <w:t>一、</w:t>
      </w:r>
      <w:r>
        <w:rPr>
          <w:rFonts w:hint="eastAsia" w:ascii="黑体" w:hAnsi="黑体" w:eastAsia="黑体"/>
          <w:sz w:val="32"/>
          <w:szCs w:val="32"/>
        </w:rPr>
        <w:t>收</w:t>
      </w:r>
      <w:r>
        <w:rPr>
          <w:rStyle w:val="30"/>
          <w:rFonts w:hint="eastAsia" w:ascii="黑体" w:hAnsi="黑体" w:eastAsia="黑体"/>
          <w:b w:val="0"/>
        </w:rPr>
        <w:t>入支出决算总体情况说明</w:t>
      </w:r>
      <w:bookmarkEnd w:id="25"/>
      <w:bookmarkEnd w:id="26"/>
      <w:bookmarkEnd w:id="27"/>
    </w:p>
    <w:p>
      <w:pPr>
        <w:spacing w:line="600" w:lineRule="exact"/>
        <w:ind w:firstLine="640" w:firstLineChars="200"/>
        <w:rPr>
          <w:rFonts w:hint="eastAsia" w:ascii="仿宋" w:hAnsi="仿宋" w:eastAsia="仿宋" w:cs="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3519.98</w:t>
      </w:r>
      <w:r>
        <w:rPr>
          <w:rFonts w:hint="eastAsia" w:ascii="仿宋" w:hAnsi="仿宋" w:eastAsia="仿宋"/>
          <w:sz w:val="32"/>
          <w:szCs w:val="32"/>
        </w:rPr>
        <w:t>万元。</w:t>
      </w:r>
      <w:r>
        <w:rPr>
          <w:rFonts w:hint="eastAsia" w:ascii="仿宋" w:hAnsi="仿宋" w:eastAsia="仿宋" w:cs="仿宋"/>
          <w:sz w:val="32"/>
          <w:szCs w:val="32"/>
        </w:rPr>
        <w:t>2021年本单位未单独填报决算，由系统统一填报部门决算，故无法对比。</w:t>
      </w:r>
    </w:p>
    <w:p>
      <w:pPr>
        <w:pStyle w:val="16"/>
        <w:rPr>
          <w:rFonts w:hint="eastAsia"/>
          <w:lang w:eastAsia="zh-CN"/>
        </w:rPr>
      </w:pPr>
    </w:p>
    <w:p>
      <w:pPr>
        <w:pStyle w:val="28"/>
        <w:numPr>
          <w:ilvl w:val="0"/>
          <w:numId w:val="1"/>
        </w:numPr>
        <w:spacing w:line="600" w:lineRule="exact"/>
        <w:ind w:firstLineChars="0"/>
        <w:outlineLvl w:val="1"/>
        <w:rPr>
          <w:rStyle w:val="30"/>
          <w:rFonts w:ascii="黑体" w:hAnsi="黑体" w:eastAsia="黑体"/>
          <w:b w:val="0"/>
        </w:rPr>
      </w:pPr>
      <w:bookmarkStart w:id="28" w:name="_Toc15396604"/>
      <w:bookmarkStart w:id="29" w:name="_Toc15377206"/>
      <w:bookmarkStart w:id="30" w:name="_Toc11079"/>
      <w:r>
        <w:rPr>
          <w:rFonts w:hint="eastAsia" w:ascii="黑体" w:hAnsi="黑体" w:eastAsia="黑体"/>
          <w:sz w:val="32"/>
          <w:szCs w:val="32"/>
        </w:rPr>
        <w:t>收</w:t>
      </w:r>
      <w:r>
        <w:rPr>
          <w:rStyle w:val="30"/>
          <w:rFonts w:hint="eastAsia" w:ascii="黑体" w:hAnsi="黑体" w:eastAsia="黑体"/>
          <w:b w:val="0"/>
        </w:rPr>
        <w:t>入决算情况说明</w:t>
      </w:r>
      <w:bookmarkEnd w:id="28"/>
      <w:bookmarkEnd w:id="29"/>
      <w:bookmarkEnd w:id="30"/>
    </w:p>
    <w:p>
      <w:pPr>
        <w:spacing w:line="600" w:lineRule="exact"/>
        <w:ind w:firstLine="640" w:firstLineChars="200"/>
        <w:outlineLvl w:val="1"/>
        <w:rPr>
          <w:rFonts w:ascii="仿宋" w:hAnsi="仿宋" w:eastAsia="仿宋"/>
          <w:sz w:val="32"/>
          <w:szCs w:val="32"/>
        </w:rPr>
      </w:pPr>
      <w:bookmarkStart w:id="31" w:name="_Toc747"/>
      <w:r>
        <w:rPr>
          <w:rFonts w:ascii="仿宋" w:hAnsi="仿宋" w:eastAsia="仿宋"/>
          <w:sz w:val="32"/>
          <w:szCs w:val="32"/>
        </w:rPr>
        <w:t>20</w:t>
      </w:r>
      <w:r>
        <w:rPr>
          <w:rFonts w:hint="eastAsia" w:ascii="仿宋" w:hAnsi="仿宋" w:eastAsia="仿宋"/>
          <w:sz w:val="32"/>
          <w:szCs w:val="32"/>
        </w:rPr>
        <w:t>22年本年收入合计</w:t>
      </w:r>
      <w:r>
        <w:rPr>
          <w:rFonts w:hint="eastAsia" w:ascii="仿宋_GB2312" w:hAnsi="仿宋_GB2312" w:cs="仿宋_GB2312"/>
          <w:b w:val="0"/>
          <w:bCs/>
          <w:sz w:val="32"/>
          <w:szCs w:val="32"/>
          <w:lang w:val="en-US" w:eastAsia="zh-CN"/>
        </w:rPr>
        <w:t>3519.98</w:t>
      </w:r>
      <w:r>
        <w:rPr>
          <w:rFonts w:hint="eastAsia" w:ascii="仿宋" w:hAnsi="仿宋" w:eastAsia="仿宋"/>
          <w:sz w:val="32"/>
          <w:szCs w:val="32"/>
        </w:rPr>
        <w:t>万元，其中：一般公共预算财政拨款收入</w:t>
      </w:r>
      <w:r>
        <w:rPr>
          <w:rFonts w:hint="eastAsia" w:ascii="仿宋_GB2312" w:hAnsi="仿宋" w:eastAsia="仿宋_GB2312"/>
          <w:sz w:val="32"/>
          <w:szCs w:val="32"/>
          <w:lang w:val="en-US" w:eastAsia="zh-CN"/>
        </w:rPr>
        <w:t>1127.86</w:t>
      </w:r>
      <w:r>
        <w:rPr>
          <w:rFonts w:hint="eastAsia" w:ascii="仿宋" w:hAnsi="仿宋" w:eastAsia="仿宋"/>
          <w:sz w:val="32"/>
          <w:szCs w:val="32"/>
        </w:rPr>
        <w:t>万元，占</w:t>
      </w:r>
      <w:r>
        <w:rPr>
          <w:rFonts w:hint="eastAsia" w:ascii="仿宋" w:hAnsi="仿宋" w:eastAsia="仿宋"/>
          <w:sz w:val="32"/>
          <w:szCs w:val="32"/>
          <w:lang w:val="en-US" w:eastAsia="zh-CN"/>
        </w:rPr>
        <w:t>32.04</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2318.16</w:t>
      </w:r>
      <w:r>
        <w:rPr>
          <w:rFonts w:hint="eastAsia" w:ascii="仿宋" w:hAnsi="仿宋" w:eastAsia="仿宋"/>
          <w:sz w:val="32"/>
          <w:szCs w:val="32"/>
        </w:rPr>
        <w:t>万元，占</w:t>
      </w:r>
      <w:r>
        <w:rPr>
          <w:rFonts w:hint="eastAsia" w:ascii="仿宋" w:hAnsi="仿宋" w:eastAsia="仿宋"/>
          <w:sz w:val="32"/>
          <w:szCs w:val="32"/>
          <w:lang w:val="en-US" w:eastAsia="zh-CN"/>
        </w:rPr>
        <w:t>65.86</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73.97</w:t>
      </w:r>
      <w:r>
        <w:rPr>
          <w:rFonts w:hint="eastAsia" w:ascii="仿宋" w:hAnsi="仿宋" w:eastAsia="仿宋"/>
          <w:sz w:val="32"/>
          <w:szCs w:val="32"/>
        </w:rPr>
        <w:t>万元，占</w:t>
      </w:r>
      <w:r>
        <w:rPr>
          <w:rFonts w:hint="eastAsia" w:ascii="仿宋" w:hAnsi="仿宋" w:eastAsia="仿宋"/>
          <w:sz w:val="32"/>
          <w:szCs w:val="32"/>
          <w:lang w:val="en-US" w:eastAsia="zh-CN"/>
        </w:rPr>
        <w:t>2.1</w:t>
      </w:r>
      <w:r>
        <w:rPr>
          <w:rFonts w:ascii="仿宋" w:hAnsi="仿宋" w:eastAsia="仿宋"/>
          <w:sz w:val="32"/>
          <w:szCs w:val="32"/>
        </w:rPr>
        <w:t>%</w:t>
      </w:r>
      <w:r>
        <w:rPr>
          <w:rFonts w:hint="eastAsia" w:ascii="仿宋" w:hAnsi="仿宋" w:eastAsia="仿宋"/>
          <w:sz w:val="32"/>
          <w:szCs w:val="32"/>
        </w:rPr>
        <w:t>。</w:t>
      </w:r>
      <w:bookmarkEnd w:id="31"/>
    </w:p>
    <w:p>
      <w:pPr>
        <w:spacing w:line="600" w:lineRule="exact"/>
        <w:ind w:firstLine="640" w:firstLineChars="200"/>
        <w:outlineLvl w:val="9"/>
        <w:rPr>
          <w:rFonts w:ascii="仿宋" w:hAnsi="仿宋" w:eastAsia="仿宋"/>
          <w:sz w:val="32"/>
          <w:szCs w:val="32"/>
        </w:rPr>
      </w:pPr>
    </w:p>
    <w:p>
      <w:pPr>
        <w:pStyle w:val="16"/>
        <w:rPr>
          <w:rFonts w:hint="eastAsia" w:eastAsia="仿宋"/>
          <w:lang w:eastAsia="zh-CN"/>
        </w:rPr>
      </w:pPr>
      <w:r>
        <w:rPr>
          <w:rFonts w:hint="eastAsia" w:eastAsia="仿宋"/>
          <w:lang w:eastAsia="zh-CN"/>
        </w:rPr>
        <w:drawing>
          <wp:inline distT="0" distB="0" distL="114300" distR="114300">
            <wp:extent cx="4857115" cy="2503170"/>
            <wp:effectExtent l="4445" t="4445" r="15240"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sz w:val="32"/>
          <w:szCs w:val="32"/>
        </w:rPr>
      </w:pPr>
    </w:p>
    <w:p>
      <w:pPr>
        <w:pStyle w:val="28"/>
        <w:numPr>
          <w:ilvl w:val="0"/>
          <w:numId w:val="1"/>
        </w:numPr>
        <w:spacing w:line="600" w:lineRule="exact"/>
        <w:ind w:firstLineChars="0"/>
        <w:outlineLvl w:val="1"/>
        <w:rPr>
          <w:rStyle w:val="30"/>
          <w:rFonts w:ascii="黑体" w:hAnsi="黑体" w:eastAsia="黑体"/>
          <w:b w:val="0"/>
        </w:rPr>
      </w:pPr>
      <w:bookmarkStart w:id="32" w:name="_Toc1272"/>
      <w:bookmarkStart w:id="33" w:name="_Toc15377207"/>
      <w:bookmarkStart w:id="34" w:name="_Toc15396605"/>
      <w:r>
        <w:rPr>
          <w:rFonts w:hint="eastAsia" w:ascii="黑体" w:hAnsi="黑体" w:eastAsia="黑体"/>
          <w:sz w:val="32"/>
          <w:szCs w:val="32"/>
        </w:rPr>
        <w:t>支</w:t>
      </w:r>
      <w:r>
        <w:rPr>
          <w:rStyle w:val="30"/>
          <w:rFonts w:hint="eastAsia" w:ascii="黑体" w:hAnsi="黑体" w:eastAsia="黑体"/>
          <w:b w:val="0"/>
        </w:rPr>
        <w:t>出决算情况说明</w:t>
      </w:r>
      <w:bookmarkEnd w:id="32"/>
      <w:bookmarkEnd w:id="33"/>
      <w:bookmarkEnd w:id="34"/>
    </w:p>
    <w:p>
      <w:pPr>
        <w:spacing w:line="600" w:lineRule="exact"/>
        <w:ind w:firstLine="640" w:firstLineChars="200"/>
        <w:outlineLvl w:val="1"/>
        <w:rPr>
          <w:rFonts w:ascii="仿宋" w:hAnsi="仿宋" w:eastAsia="仿宋"/>
          <w:sz w:val="32"/>
          <w:szCs w:val="32"/>
        </w:rPr>
      </w:pPr>
      <w:bookmarkStart w:id="35" w:name="_Toc6739"/>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3488.67</w:t>
      </w:r>
      <w:r>
        <w:rPr>
          <w:rFonts w:hint="eastAsia" w:ascii="仿宋" w:hAnsi="仿宋" w:eastAsia="仿宋"/>
          <w:sz w:val="32"/>
          <w:szCs w:val="32"/>
        </w:rPr>
        <w:t>万元，其中：基本支出</w:t>
      </w:r>
      <w:r>
        <w:rPr>
          <w:rFonts w:hint="eastAsia" w:ascii="仿宋" w:hAnsi="仿宋" w:eastAsia="仿宋"/>
          <w:sz w:val="32"/>
          <w:szCs w:val="32"/>
          <w:lang w:val="en-US" w:eastAsia="zh-CN"/>
        </w:rPr>
        <w:t>3362.77</w:t>
      </w:r>
      <w:r>
        <w:rPr>
          <w:rFonts w:hint="eastAsia" w:ascii="仿宋" w:hAnsi="仿宋" w:eastAsia="仿宋"/>
          <w:sz w:val="32"/>
          <w:szCs w:val="32"/>
        </w:rPr>
        <w:t>元，占</w:t>
      </w:r>
      <w:r>
        <w:rPr>
          <w:rFonts w:hint="eastAsia" w:ascii="仿宋" w:hAnsi="仿宋" w:eastAsia="仿宋"/>
          <w:sz w:val="32"/>
          <w:szCs w:val="32"/>
          <w:lang w:val="en-US" w:eastAsia="zh-CN"/>
        </w:rPr>
        <w:t>96.39</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125.9</w:t>
      </w:r>
      <w:r>
        <w:rPr>
          <w:rFonts w:hint="eastAsia" w:ascii="仿宋" w:hAnsi="仿宋" w:eastAsia="仿宋"/>
          <w:sz w:val="32"/>
          <w:szCs w:val="32"/>
        </w:rPr>
        <w:t>万元，占</w:t>
      </w:r>
      <w:r>
        <w:rPr>
          <w:rFonts w:hint="eastAsia" w:ascii="仿宋" w:hAnsi="仿宋" w:eastAsia="仿宋"/>
          <w:sz w:val="32"/>
          <w:szCs w:val="32"/>
          <w:lang w:val="en-US" w:eastAsia="zh-CN"/>
        </w:rPr>
        <w:t>3.61</w:t>
      </w:r>
      <w:r>
        <w:rPr>
          <w:rFonts w:ascii="仿宋" w:hAnsi="仿宋" w:eastAsia="仿宋"/>
          <w:sz w:val="32"/>
          <w:szCs w:val="32"/>
        </w:rPr>
        <w:t>%</w:t>
      </w:r>
      <w:r>
        <w:rPr>
          <w:rFonts w:hint="eastAsia" w:ascii="仿宋" w:hAnsi="仿宋" w:eastAsia="仿宋"/>
          <w:sz w:val="32"/>
          <w:szCs w:val="32"/>
        </w:rPr>
        <w:t>。</w:t>
      </w:r>
      <w:bookmarkEnd w:id="35"/>
    </w:p>
    <w:p>
      <w:pPr>
        <w:pStyle w:val="16"/>
        <w:rPr>
          <w:rFonts w:hint="eastAsia" w:eastAsia="仿宋"/>
          <w:lang w:eastAsia="zh-CN"/>
        </w:rPr>
      </w:pPr>
      <w:r>
        <w:rPr>
          <w:rFonts w:hint="eastAsia" w:eastAsia="仿宋"/>
          <w:lang w:eastAsia="zh-CN"/>
        </w:rPr>
        <w:drawing>
          <wp:inline distT="0" distB="0" distL="114300" distR="114300">
            <wp:extent cx="4951095" cy="2836545"/>
            <wp:effectExtent l="4445" t="4445" r="16510" b="1651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0"/>
          <w:rFonts w:ascii="黑体" w:hAnsi="黑体" w:eastAsia="黑体"/>
          <w:b w:val="0"/>
        </w:rPr>
      </w:pPr>
      <w:bookmarkStart w:id="36" w:name="_Toc15377208"/>
      <w:bookmarkStart w:id="37" w:name="_Toc9331"/>
      <w:bookmarkStart w:id="38"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36"/>
      <w:bookmarkEnd w:id="37"/>
      <w:bookmarkEnd w:id="38"/>
    </w:p>
    <w:p>
      <w:pPr>
        <w:spacing w:line="600" w:lineRule="exact"/>
        <w:ind w:firstLine="640" w:firstLineChars="20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1127.86</w:t>
      </w:r>
      <w:r>
        <w:rPr>
          <w:rFonts w:hint="eastAsia" w:ascii="仿宋" w:hAnsi="仿宋" w:eastAsia="仿宋"/>
          <w:sz w:val="32"/>
          <w:szCs w:val="32"/>
        </w:rPr>
        <w:t>万元。</w:t>
      </w:r>
      <w:r>
        <w:rPr>
          <w:rFonts w:hint="eastAsia" w:ascii="仿宋" w:hAnsi="仿宋" w:eastAsia="仿宋" w:cs="仿宋"/>
          <w:sz w:val="32"/>
          <w:szCs w:val="32"/>
        </w:rPr>
        <w:t>2021年本单位未单独填报决算，由系统统一填报部门决算，故无法对比。</w:t>
      </w:r>
    </w:p>
    <w:p>
      <w:pPr>
        <w:spacing w:line="600" w:lineRule="exact"/>
        <w:ind w:firstLine="640" w:firstLineChars="200"/>
        <w:outlineLvl w:val="1"/>
        <w:rPr>
          <w:rStyle w:val="30"/>
          <w:rFonts w:ascii="黑体" w:hAnsi="黑体" w:eastAsia="黑体"/>
          <w:b w:val="0"/>
        </w:rPr>
      </w:pPr>
      <w:bookmarkStart w:id="39" w:name="_Toc15377209"/>
      <w:bookmarkStart w:id="40" w:name="_Toc15396607"/>
      <w:bookmarkStart w:id="41" w:name="_Toc4460"/>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9"/>
      <w:bookmarkEnd w:id="40"/>
      <w:bookmarkEnd w:id="41"/>
    </w:p>
    <w:p>
      <w:pPr>
        <w:spacing w:line="600" w:lineRule="exact"/>
        <w:ind w:firstLine="642" w:firstLineChars="200"/>
        <w:outlineLvl w:val="2"/>
        <w:rPr>
          <w:rFonts w:ascii="仿宋" w:hAnsi="仿宋" w:eastAsia="仿宋"/>
          <w:b/>
          <w:sz w:val="32"/>
          <w:szCs w:val="32"/>
        </w:rPr>
      </w:pPr>
      <w:bookmarkStart w:id="42" w:name="_Toc15377210"/>
      <w:r>
        <w:rPr>
          <w:rFonts w:hint="eastAsia" w:ascii="仿宋" w:hAnsi="仿宋" w:eastAsia="仿宋"/>
          <w:b/>
          <w:sz w:val="32"/>
          <w:szCs w:val="32"/>
        </w:rPr>
        <w:t>（一）一般公共预算财政拨款支出决算总体情况</w:t>
      </w:r>
      <w:bookmarkEnd w:id="42"/>
    </w:p>
    <w:p>
      <w:pPr>
        <w:spacing w:line="600" w:lineRule="exact"/>
        <w:ind w:firstLine="640" w:firstLineChars="200"/>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1127.86</w:t>
      </w:r>
      <w:r>
        <w:rPr>
          <w:rFonts w:hint="eastAsia" w:ascii="仿宋" w:hAnsi="仿宋" w:eastAsia="仿宋"/>
          <w:sz w:val="32"/>
          <w:szCs w:val="32"/>
        </w:rPr>
        <w:t>万元，占本年支出合计的</w:t>
      </w:r>
      <w:r>
        <w:rPr>
          <w:rFonts w:hint="eastAsia" w:ascii="仿宋" w:hAnsi="仿宋" w:eastAsia="仿宋"/>
          <w:sz w:val="32"/>
          <w:szCs w:val="32"/>
          <w:lang w:val="en-US" w:eastAsia="zh-CN"/>
        </w:rPr>
        <w:t>32.33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仿宋"/>
          <w:sz w:val="32"/>
          <w:szCs w:val="32"/>
        </w:rPr>
        <w:t>2021年本单位未单独填报决算，由系统统一填报部门决算，故无法对比。</w:t>
      </w:r>
    </w:p>
    <w:p>
      <w:pPr>
        <w:spacing w:line="600" w:lineRule="exact"/>
        <w:ind w:firstLine="642" w:firstLineChars="200"/>
        <w:outlineLvl w:val="2"/>
        <w:rPr>
          <w:rFonts w:ascii="仿宋" w:hAnsi="仿宋" w:eastAsia="仿宋"/>
          <w:b/>
          <w:sz w:val="32"/>
          <w:szCs w:val="32"/>
        </w:rPr>
      </w:pPr>
      <w:bookmarkStart w:id="43" w:name="_Toc15377211"/>
      <w:r>
        <w:rPr>
          <w:rFonts w:hint="eastAsia" w:ascii="仿宋" w:hAnsi="仿宋" w:eastAsia="仿宋"/>
          <w:b/>
          <w:sz w:val="32"/>
          <w:szCs w:val="32"/>
        </w:rPr>
        <w:t>（二）一般公共预算财政拨款支出决算结构情况</w:t>
      </w:r>
      <w:bookmarkEnd w:id="43"/>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1127.86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sz w:val="32"/>
          <w:szCs w:val="32"/>
        </w:rPr>
        <w:t>社会保障和就业支出</w:t>
      </w:r>
      <w:r>
        <w:rPr>
          <w:rFonts w:hint="eastAsia" w:ascii="仿宋" w:hAnsi="仿宋" w:eastAsia="仿宋"/>
          <w:sz w:val="32"/>
          <w:szCs w:val="32"/>
          <w:lang w:val="en-US" w:eastAsia="zh-CN"/>
        </w:rPr>
        <w:t>81.67</w:t>
      </w:r>
      <w:r>
        <w:rPr>
          <w:rFonts w:hint="eastAsia" w:ascii="仿宋" w:hAnsi="仿宋" w:eastAsia="仿宋"/>
          <w:sz w:val="32"/>
          <w:szCs w:val="32"/>
        </w:rPr>
        <w:t>万元，占</w:t>
      </w:r>
      <w:r>
        <w:rPr>
          <w:rFonts w:hint="eastAsia" w:ascii="仿宋" w:hAnsi="仿宋" w:eastAsia="仿宋"/>
          <w:sz w:val="32"/>
          <w:szCs w:val="32"/>
          <w:lang w:val="en-US" w:eastAsia="zh-CN"/>
        </w:rPr>
        <w:t>7.24</w:t>
      </w:r>
      <w:r>
        <w:rPr>
          <w:rFonts w:hint="eastAsia" w:ascii="仿宋" w:hAnsi="仿宋" w:eastAsia="仿宋"/>
          <w:sz w:val="32"/>
          <w:szCs w:val="32"/>
        </w:rPr>
        <w:t>%；卫生健康支出</w:t>
      </w:r>
      <w:r>
        <w:rPr>
          <w:rFonts w:hint="eastAsia" w:ascii="仿宋" w:hAnsi="仿宋" w:eastAsia="仿宋"/>
          <w:sz w:val="32"/>
          <w:szCs w:val="32"/>
          <w:lang w:val="en-US" w:eastAsia="zh-CN"/>
        </w:rPr>
        <w:t>1025.9</w:t>
      </w:r>
      <w:r>
        <w:rPr>
          <w:rFonts w:hint="eastAsia" w:ascii="仿宋" w:hAnsi="仿宋" w:eastAsia="仿宋"/>
          <w:sz w:val="32"/>
          <w:szCs w:val="32"/>
        </w:rPr>
        <w:t>万元，占</w:t>
      </w:r>
      <w:r>
        <w:rPr>
          <w:rFonts w:hint="eastAsia" w:ascii="仿宋" w:hAnsi="仿宋" w:eastAsia="仿宋"/>
          <w:sz w:val="32"/>
          <w:szCs w:val="32"/>
          <w:lang w:val="en-US" w:eastAsia="zh-CN"/>
        </w:rPr>
        <w:t>90.96</w:t>
      </w:r>
      <w:r>
        <w:rPr>
          <w:rFonts w:hint="eastAsia" w:ascii="仿宋" w:hAnsi="仿宋" w:eastAsia="仿宋"/>
          <w:sz w:val="32"/>
          <w:szCs w:val="32"/>
        </w:rPr>
        <w:t>%；住房保障支出</w:t>
      </w:r>
      <w:r>
        <w:rPr>
          <w:rFonts w:hint="eastAsia" w:ascii="仿宋" w:hAnsi="仿宋" w:eastAsia="仿宋"/>
          <w:sz w:val="32"/>
          <w:szCs w:val="32"/>
          <w:lang w:val="en-US" w:eastAsia="zh-CN"/>
        </w:rPr>
        <w:t>18.3</w:t>
      </w:r>
      <w:r>
        <w:rPr>
          <w:rFonts w:hint="eastAsia" w:ascii="仿宋" w:hAnsi="仿宋" w:eastAsia="仿宋"/>
          <w:sz w:val="32"/>
          <w:szCs w:val="32"/>
        </w:rPr>
        <w:t>万元，占</w:t>
      </w:r>
      <w:r>
        <w:rPr>
          <w:rFonts w:hint="eastAsia" w:ascii="仿宋" w:hAnsi="仿宋" w:eastAsia="仿宋"/>
          <w:sz w:val="32"/>
          <w:szCs w:val="32"/>
          <w:lang w:val="en-US" w:eastAsia="zh-CN"/>
        </w:rPr>
        <w:t>1.62</w:t>
      </w:r>
      <w:r>
        <w:rPr>
          <w:rFonts w:hint="eastAsia" w:ascii="仿宋" w:hAnsi="仿宋" w:eastAsia="仿宋"/>
          <w:sz w:val="32"/>
          <w:szCs w:val="32"/>
        </w:rPr>
        <w:t>%；</w:t>
      </w:r>
      <w:r>
        <w:rPr>
          <w:rFonts w:hint="eastAsia" w:ascii="仿宋" w:hAnsi="仿宋" w:eastAsia="仿宋"/>
          <w:sz w:val="32"/>
          <w:szCs w:val="32"/>
          <w:lang w:val="en-US" w:eastAsia="zh-CN"/>
        </w:rPr>
        <w:t>农林水支出2万元，占0.18%</w:t>
      </w:r>
      <w:r>
        <w:rPr>
          <w:rFonts w:hint="eastAsia" w:ascii="仿宋" w:hAnsi="仿宋" w:eastAsia="仿宋"/>
          <w:sz w:val="32"/>
          <w:szCs w:val="32"/>
        </w:rPr>
        <w:t>。</w:t>
      </w:r>
    </w:p>
    <w:p>
      <w:pPr>
        <w:spacing w:line="600" w:lineRule="exact"/>
        <w:ind w:firstLine="640" w:firstLineChars="200"/>
        <w:outlineLvl w:val="9"/>
        <w:rPr>
          <w:rFonts w:hint="eastAsia" w:ascii="仿宋" w:hAnsi="仿宋" w:eastAsia="仿宋"/>
          <w:b/>
          <w:sz w:val="32"/>
          <w:szCs w:val="32"/>
        </w:rPr>
      </w:pPr>
      <w:bookmarkStart w:id="44" w:name="_Toc15377212"/>
      <w:r>
        <w:rPr>
          <w:rFonts w:hint="eastAsia" w:ascii="仿宋" w:hAnsi="仿宋" w:eastAsia="仿宋"/>
          <w:sz w:val="32"/>
          <w:szCs w:val="32"/>
          <w:lang w:eastAsia="zh-CN"/>
        </w:rPr>
        <w:drawing>
          <wp:anchor distT="0" distB="0" distL="114300" distR="114300" simplePos="0" relativeHeight="251659264" behindDoc="0" locked="0" layoutInCell="1" allowOverlap="1">
            <wp:simplePos x="0" y="0"/>
            <wp:positionH relativeFrom="column">
              <wp:posOffset>373380</wp:posOffset>
            </wp:positionH>
            <wp:positionV relativeFrom="paragraph">
              <wp:posOffset>238760</wp:posOffset>
            </wp:positionV>
            <wp:extent cx="4668520" cy="2642870"/>
            <wp:effectExtent l="4445" t="5080" r="5715" b="1905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2" w:firstLineChars="200"/>
        <w:outlineLvl w:val="9"/>
        <w:rPr>
          <w:rFonts w:hint="eastAsia" w:ascii="仿宋" w:hAnsi="仿宋" w:eastAsia="仿宋"/>
          <w:b/>
          <w:sz w:val="32"/>
          <w:szCs w:val="32"/>
        </w:rPr>
      </w:pPr>
    </w:p>
    <w:p>
      <w:pPr>
        <w:spacing w:line="600" w:lineRule="exact"/>
        <w:ind w:firstLine="642" w:firstLineChars="200"/>
        <w:outlineLvl w:val="9"/>
        <w:rPr>
          <w:rFonts w:hint="eastAsia" w:ascii="仿宋" w:hAnsi="仿宋" w:eastAsia="仿宋"/>
          <w:b/>
          <w:sz w:val="32"/>
          <w:szCs w:val="32"/>
        </w:rPr>
      </w:pPr>
    </w:p>
    <w:p>
      <w:pPr>
        <w:spacing w:line="600" w:lineRule="exact"/>
        <w:ind w:firstLine="642" w:firstLineChars="200"/>
        <w:outlineLvl w:val="9"/>
        <w:rPr>
          <w:rFonts w:hint="eastAsia" w:ascii="仿宋" w:hAnsi="仿宋" w:eastAsia="仿宋"/>
          <w:b/>
          <w:sz w:val="32"/>
          <w:szCs w:val="32"/>
        </w:rPr>
      </w:pPr>
    </w:p>
    <w:p>
      <w:pPr>
        <w:spacing w:line="600" w:lineRule="exact"/>
        <w:ind w:firstLine="642" w:firstLineChars="200"/>
        <w:outlineLvl w:val="9"/>
        <w:rPr>
          <w:rFonts w:hint="eastAsia" w:ascii="仿宋" w:hAnsi="仿宋" w:eastAsia="仿宋"/>
          <w:b/>
          <w:sz w:val="32"/>
          <w:szCs w:val="32"/>
        </w:rPr>
      </w:pPr>
    </w:p>
    <w:p>
      <w:pPr>
        <w:spacing w:line="600" w:lineRule="exact"/>
        <w:ind w:firstLine="642" w:firstLineChars="200"/>
        <w:outlineLvl w:val="9"/>
        <w:rPr>
          <w:rFonts w:hint="eastAsia" w:ascii="仿宋" w:hAnsi="仿宋" w:eastAsia="仿宋"/>
          <w:b/>
          <w:sz w:val="32"/>
          <w:szCs w:val="32"/>
        </w:rPr>
      </w:pPr>
    </w:p>
    <w:p>
      <w:pPr>
        <w:spacing w:line="600" w:lineRule="exact"/>
        <w:ind w:firstLine="642" w:firstLineChars="200"/>
        <w:outlineLvl w:val="9"/>
        <w:rPr>
          <w:rFonts w:hint="eastAsia" w:ascii="仿宋" w:hAnsi="仿宋" w:eastAsia="仿宋"/>
          <w:b/>
          <w:sz w:val="32"/>
          <w:szCs w:val="32"/>
        </w:rPr>
      </w:pPr>
    </w:p>
    <w:p>
      <w:pPr>
        <w:spacing w:line="600" w:lineRule="exact"/>
        <w:ind w:firstLine="642" w:firstLineChars="200"/>
        <w:outlineLvl w:val="2"/>
        <w:rPr>
          <w:rFonts w:hint="eastAsia" w:ascii="仿宋" w:hAnsi="仿宋" w:eastAsia="仿宋"/>
          <w:b/>
          <w:sz w:val="32"/>
          <w:szCs w:val="32"/>
        </w:rPr>
      </w:pPr>
      <w:r>
        <w:rPr>
          <w:rFonts w:hint="eastAsia" w:ascii="仿宋" w:hAnsi="仿宋" w:eastAsia="仿宋"/>
          <w:b/>
          <w:sz w:val="32"/>
          <w:szCs w:val="32"/>
          <w:lang w:val="en-US" w:eastAsia="zh-CN"/>
        </w:rPr>
        <w:t>（（三</w:t>
      </w:r>
      <w:r>
        <w:rPr>
          <w:rFonts w:hint="eastAsia" w:ascii="仿宋" w:hAnsi="仿宋" w:eastAsia="仿宋"/>
          <w:b/>
          <w:sz w:val="32"/>
          <w:szCs w:val="32"/>
        </w:rPr>
        <w:t>）一般公共预算财政拨款支出决算具体情况</w:t>
      </w:r>
      <w:bookmarkEnd w:id="44"/>
    </w:p>
    <w:p>
      <w:pPr>
        <w:spacing w:line="600" w:lineRule="exact"/>
        <w:ind w:firstLine="640" w:firstLineChars="200"/>
        <w:rPr>
          <w:rStyle w:val="19"/>
          <w:rFonts w:hint="eastAsia" w:ascii="仿宋" w:hAnsi="仿宋" w:eastAsia="仿宋"/>
          <w:b w:val="0"/>
          <w:bCs/>
          <w:sz w:val="32"/>
          <w:szCs w:val="32"/>
        </w:rPr>
      </w:pPr>
      <w:bookmarkStart w:id="45" w:name="_Toc15377213"/>
      <w:bookmarkStart w:id="46" w:name="_Toc15377444"/>
      <w:bookmarkStart w:id="47" w:name="_Toc15378460"/>
      <w:r>
        <w:rPr>
          <w:rStyle w:val="19"/>
          <w:rFonts w:hint="eastAsia" w:ascii="仿宋" w:hAnsi="仿宋" w:eastAsia="仿宋"/>
          <w:b w:val="0"/>
          <w:bCs/>
          <w:sz w:val="32"/>
          <w:szCs w:val="32"/>
        </w:rPr>
        <w:t>2022年一般公共预算支出决算数为</w:t>
      </w:r>
      <w:r>
        <w:rPr>
          <w:rStyle w:val="19"/>
          <w:rFonts w:hint="eastAsia" w:ascii="仿宋" w:hAnsi="仿宋" w:eastAsia="仿宋"/>
          <w:b w:val="0"/>
          <w:bCs/>
          <w:sz w:val="32"/>
          <w:szCs w:val="32"/>
          <w:lang w:val="en-US" w:eastAsia="zh-CN"/>
        </w:rPr>
        <w:t>1127.86</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100</w:t>
      </w:r>
      <w:r>
        <w:rPr>
          <w:rStyle w:val="19"/>
          <w:rFonts w:hint="eastAsia" w:ascii="仿宋" w:hAnsi="仿宋" w:eastAsia="仿宋"/>
          <w:b w:val="0"/>
          <w:bCs/>
          <w:sz w:val="32"/>
          <w:szCs w:val="32"/>
        </w:rPr>
        <w:t>%。其中：</w:t>
      </w:r>
      <w:bookmarkEnd w:id="45"/>
      <w:bookmarkEnd w:id="46"/>
      <w:bookmarkEnd w:id="47"/>
    </w:p>
    <w:p>
      <w:pPr>
        <w:spacing w:line="600" w:lineRule="exact"/>
        <w:ind w:firstLine="640" w:firstLineChars="200"/>
        <w:rPr>
          <w:rStyle w:val="19"/>
          <w:rFonts w:hint="eastAsia" w:ascii="仿宋" w:hAnsi="仿宋" w:eastAsia="仿宋"/>
          <w:b w:val="0"/>
          <w:bCs/>
          <w:sz w:val="32"/>
          <w:szCs w:val="32"/>
          <w:lang w:val="en-US" w:eastAsia="zh-CN"/>
        </w:rPr>
      </w:pPr>
      <w:r>
        <w:rPr>
          <w:rStyle w:val="19"/>
          <w:rFonts w:hint="eastAsia" w:ascii="仿宋" w:hAnsi="仿宋" w:eastAsia="仿宋"/>
          <w:b w:val="0"/>
          <w:bCs/>
          <w:sz w:val="32"/>
          <w:szCs w:val="32"/>
          <w:lang w:val="en-US" w:eastAsia="zh-CN"/>
        </w:rPr>
        <w:t>1</w:t>
      </w:r>
      <w:r>
        <w:rPr>
          <w:rStyle w:val="19"/>
          <w:rFonts w:hint="eastAsia" w:ascii="仿宋" w:hAnsi="仿宋" w:eastAsia="仿宋"/>
          <w:b w:val="0"/>
          <w:bCs/>
          <w:sz w:val="32"/>
          <w:szCs w:val="32"/>
        </w:rPr>
        <w:t>.社会保障和就业（类）</w:t>
      </w:r>
      <w:r>
        <w:rPr>
          <w:rStyle w:val="19"/>
          <w:rFonts w:hint="eastAsia" w:ascii="仿宋" w:hAnsi="仿宋" w:eastAsia="仿宋"/>
          <w:b w:val="0"/>
          <w:bCs/>
          <w:sz w:val="32"/>
          <w:szCs w:val="32"/>
          <w:lang w:val="en-US" w:eastAsia="zh-CN"/>
        </w:rPr>
        <w:t>行政事业单位养老支出</w:t>
      </w:r>
      <w:r>
        <w:rPr>
          <w:rStyle w:val="19"/>
          <w:rFonts w:hint="eastAsia" w:ascii="仿宋" w:hAnsi="仿宋" w:eastAsia="仿宋"/>
          <w:b w:val="0"/>
          <w:bCs/>
          <w:sz w:val="32"/>
          <w:szCs w:val="32"/>
        </w:rPr>
        <w:t>（款）</w:t>
      </w:r>
      <w:r>
        <w:rPr>
          <w:rStyle w:val="19"/>
          <w:rFonts w:hint="eastAsia" w:ascii="仿宋" w:hAnsi="仿宋" w:eastAsia="仿宋"/>
          <w:b w:val="0"/>
          <w:bCs/>
          <w:sz w:val="32"/>
          <w:szCs w:val="32"/>
          <w:lang w:val="en-US" w:eastAsia="zh-CN"/>
        </w:rPr>
        <w:t>机关事业单位基本养老保险缴费支出</w:t>
      </w:r>
      <w:r>
        <w:rPr>
          <w:rStyle w:val="19"/>
          <w:rFonts w:hint="eastAsia" w:ascii="仿宋" w:hAnsi="仿宋" w:eastAsia="仿宋"/>
          <w:b w:val="0"/>
          <w:bCs/>
          <w:sz w:val="32"/>
          <w:szCs w:val="32"/>
        </w:rPr>
        <w:t>（项）: 支出决算为</w:t>
      </w:r>
      <w:r>
        <w:rPr>
          <w:rStyle w:val="19"/>
          <w:rFonts w:hint="eastAsia" w:ascii="仿宋" w:hAnsi="仿宋" w:eastAsia="仿宋"/>
          <w:b w:val="0"/>
          <w:bCs/>
          <w:sz w:val="32"/>
          <w:szCs w:val="32"/>
          <w:lang w:val="en-US" w:eastAsia="zh-CN"/>
        </w:rPr>
        <w:t>81.67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hint="eastAsia" w:ascii="仿宋" w:hAnsi="仿宋" w:eastAsia="仿宋"/>
          <w:b w:val="0"/>
          <w:bCs/>
          <w:sz w:val="32"/>
          <w:szCs w:val="32"/>
        </w:rPr>
        <w:t>%</w:t>
      </w:r>
      <w:r>
        <w:rPr>
          <w:rStyle w:val="19"/>
          <w:rFonts w:hint="eastAsia" w:ascii="仿宋" w:hAnsi="仿宋" w:eastAsia="仿宋"/>
          <w:b w:val="0"/>
          <w:bCs/>
          <w:sz w:val="32"/>
          <w:szCs w:val="32"/>
          <w:lang w:val="en-US" w:eastAsia="zh-CN"/>
        </w:rPr>
        <w:t>。</w:t>
      </w:r>
    </w:p>
    <w:p>
      <w:pPr>
        <w:spacing w:line="600" w:lineRule="exact"/>
        <w:ind w:firstLine="640" w:firstLineChars="200"/>
        <w:rPr>
          <w:rStyle w:val="19"/>
          <w:rFonts w:hint="eastAsia" w:ascii="仿宋" w:hAnsi="仿宋" w:eastAsia="仿宋"/>
          <w:b w:val="0"/>
          <w:bCs/>
          <w:sz w:val="32"/>
          <w:szCs w:val="32"/>
          <w:lang w:eastAsia="zh-CN"/>
        </w:rPr>
      </w:pPr>
      <w:r>
        <w:rPr>
          <w:rStyle w:val="19"/>
          <w:rFonts w:hint="eastAsia" w:ascii="仿宋" w:hAnsi="仿宋" w:eastAsia="仿宋"/>
          <w:b w:val="0"/>
          <w:bCs/>
          <w:sz w:val="32"/>
          <w:szCs w:val="32"/>
          <w:lang w:val="en-US" w:eastAsia="zh-CN"/>
        </w:rPr>
        <w:t>2</w:t>
      </w:r>
      <w:r>
        <w:rPr>
          <w:rStyle w:val="19"/>
          <w:rFonts w:hint="eastAsia" w:ascii="仿宋" w:hAnsi="仿宋" w:eastAsia="仿宋"/>
          <w:b w:val="0"/>
          <w:bCs/>
          <w:sz w:val="32"/>
          <w:szCs w:val="32"/>
        </w:rPr>
        <w:t>.卫生健康（类）</w:t>
      </w:r>
      <w:r>
        <w:rPr>
          <w:rStyle w:val="19"/>
          <w:rFonts w:hint="eastAsia" w:ascii="仿宋" w:hAnsi="仿宋" w:eastAsia="仿宋"/>
          <w:b w:val="0"/>
          <w:bCs/>
          <w:sz w:val="32"/>
          <w:szCs w:val="32"/>
          <w:lang w:val="en-US" w:eastAsia="zh-CN"/>
        </w:rPr>
        <w:t>基层医疗卫生机构</w:t>
      </w:r>
      <w:r>
        <w:rPr>
          <w:rStyle w:val="19"/>
          <w:rFonts w:hint="eastAsia" w:ascii="仿宋" w:hAnsi="仿宋" w:eastAsia="仿宋"/>
          <w:b w:val="0"/>
          <w:bCs/>
          <w:sz w:val="32"/>
          <w:szCs w:val="32"/>
        </w:rPr>
        <w:t>（款）</w:t>
      </w:r>
      <w:r>
        <w:rPr>
          <w:rStyle w:val="19"/>
          <w:rFonts w:hint="eastAsia" w:ascii="仿宋" w:hAnsi="仿宋" w:eastAsia="仿宋"/>
          <w:b w:val="0"/>
          <w:bCs/>
          <w:sz w:val="32"/>
          <w:szCs w:val="32"/>
          <w:lang w:val="en-US" w:eastAsia="zh-CN"/>
        </w:rPr>
        <w:t>乡镇卫生院</w:t>
      </w:r>
      <w:r>
        <w:rPr>
          <w:rStyle w:val="19"/>
          <w:rFonts w:hint="eastAsia" w:ascii="仿宋" w:hAnsi="仿宋" w:eastAsia="仿宋"/>
          <w:b w:val="0"/>
          <w:bCs/>
          <w:sz w:val="32"/>
          <w:szCs w:val="32"/>
        </w:rPr>
        <w:t>（项）:支出决算为</w:t>
      </w:r>
      <w:r>
        <w:rPr>
          <w:rStyle w:val="19"/>
          <w:rFonts w:hint="eastAsia" w:ascii="仿宋" w:hAnsi="仿宋" w:eastAsia="仿宋"/>
          <w:b w:val="0"/>
          <w:bCs/>
          <w:sz w:val="32"/>
          <w:szCs w:val="32"/>
          <w:lang w:val="en-US" w:eastAsia="zh-CN"/>
        </w:rPr>
        <w:t>625.59</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hint="eastAsia" w:ascii="仿宋" w:hAnsi="仿宋" w:eastAsia="仿宋"/>
          <w:b w:val="0"/>
          <w:bCs/>
          <w:sz w:val="32"/>
          <w:szCs w:val="32"/>
        </w:rPr>
        <w:t>%</w:t>
      </w:r>
      <w:r>
        <w:rPr>
          <w:rStyle w:val="19"/>
          <w:rFonts w:hint="eastAsia" w:ascii="仿宋" w:hAnsi="仿宋" w:eastAsia="仿宋"/>
          <w:b w:val="0"/>
          <w:bCs/>
          <w:sz w:val="32"/>
          <w:szCs w:val="32"/>
          <w:lang w:eastAsia="zh-CN"/>
        </w:rPr>
        <w:t>。</w:t>
      </w:r>
    </w:p>
    <w:p>
      <w:pPr>
        <w:spacing w:line="600" w:lineRule="exact"/>
        <w:ind w:firstLine="640" w:firstLineChars="200"/>
        <w:rPr>
          <w:rStyle w:val="19"/>
          <w:rFonts w:hint="eastAsia" w:ascii="仿宋" w:hAnsi="仿宋" w:eastAsia="仿宋"/>
          <w:b w:val="0"/>
          <w:bCs/>
          <w:sz w:val="32"/>
          <w:szCs w:val="32"/>
          <w:lang w:eastAsia="zh-CN"/>
        </w:rPr>
      </w:pPr>
      <w:r>
        <w:rPr>
          <w:rStyle w:val="19"/>
          <w:rFonts w:hint="eastAsia" w:ascii="仿宋" w:hAnsi="仿宋" w:eastAsia="仿宋"/>
          <w:b w:val="0"/>
          <w:bCs/>
          <w:sz w:val="32"/>
          <w:szCs w:val="32"/>
          <w:lang w:val="en-US" w:eastAsia="zh-CN"/>
        </w:rPr>
        <w:t>3.</w:t>
      </w:r>
      <w:r>
        <w:rPr>
          <w:rStyle w:val="19"/>
          <w:rFonts w:hint="eastAsia" w:ascii="仿宋" w:hAnsi="仿宋" w:eastAsia="仿宋"/>
          <w:b w:val="0"/>
          <w:bCs/>
          <w:sz w:val="32"/>
          <w:szCs w:val="32"/>
        </w:rPr>
        <w:t>卫生健康（类）</w:t>
      </w:r>
      <w:r>
        <w:rPr>
          <w:rStyle w:val="19"/>
          <w:rFonts w:hint="eastAsia" w:ascii="仿宋" w:hAnsi="仿宋" w:eastAsia="仿宋"/>
          <w:b w:val="0"/>
          <w:bCs/>
          <w:sz w:val="32"/>
          <w:szCs w:val="32"/>
          <w:lang w:val="en-US" w:eastAsia="zh-CN"/>
        </w:rPr>
        <w:t>基层医疗卫生机构</w:t>
      </w:r>
      <w:r>
        <w:rPr>
          <w:rStyle w:val="19"/>
          <w:rFonts w:hint="eastAsia" w:ascii="仿宋" w:hAnsi="仿宋" w:eastAsia="仿宋"/>
          <w:b w:val="0"/>
          <w:bCs/>
          <w:sz w:val="32"/>
          <w:szCs w:val="32"/>
        </w:rPr>
        <w:t>（款）</w:t>
      </w:r>
      <w:r>
        <w:rPr>
          <w:rStyle w:val="19"/>
          <w:rFonts w:hint="eastAsia" w:ascii="仿宋" w:hAnsi="仿宋" w:eastAsia="仿宋"/>
          <w:b w:val="0"/>
          <w:bCs/>
          <w:sz w:val="32"/>
          <w:szCs w:val="32"/>
          <w:lang w:val="en-US" w:eastAsia="zh-CN"/>
        </w:rPr>
        <w:t>其他基层医疗卫生机构支出</w:t>
      </w:r>
      <w:r>
        <w:rPr>
          <w:rStyle w:val="19"/>
          <w:rFonts w:hint="eastAsia" w:ascii="仿宋" w:hAnsi="仿宋" w:eastAsia="仿宋"/>
          <w:b w:val="0"/>
          <w:bCs/>
          <w:sz w:val="32"/>
          <w:szCs w:val="32"/>
        </w:rPr>
        <w:t>（项）:支出决算为</w:t>
      </w:r>
      <w:r>
        <w:rPr>
          <w:rStyle w:val="19"/>
          <w:rFonts w:hint="eastAsia" w:ascii="仿宋" w:hAnsi="仿宋" w:eastAsia="仿宋"/>
          <w:b w:val="0"/>
          <w:bCs/>
          <w:sz w:val="32"/>
          <w:szCs w:val="32"/>
          <w:lang w:val="en-US" w:eastAsia="zh-CN"/>
        </w:rPr>
        <w:t>34.92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hint="eastAsia" w:ascii="仿宋" w:hAnsi="仿宋" w:eastAsia="仿宋"/>
          <w:b w:val="0"/>
          <w:bCs/>
          <w:sz w:val="32"/>
          <w:szCs w:val="32"/>
        </w:rPr>
        <w:t>%</w:t>
      </w:r>
      <w:r>
        <w:rPr>
          <w:rStyle w:val="19"/>
          <w:rFonts w:hint="eastAsia" w:ascii="仿宋" w:hAnsi="仿宋" w:eastAsia="仿宋"/>
          <w:b w:val="0"/>
          <w:bCs/>
          <w:sz w:val="32"/>
          <w:szCs w:val="32"/>
          <w:lang w:eastAsia="zh-CN"/>
        </w:rPr>
        <w:t>。</w:t>
      </w:r>
    </w:p>
    <w:p>
      <w:pPr>
        <w:spacing w:line="600" w:lineRule="exact"/>
        <w:ind w:firstLine="640" w:firstLineChars="200"/>
        <w:rPr>
          <w:rStyle w:val="19"/>
          <w:rFonts w:hint="eastAsia" w:ascii="仿宋" w:hAnsi="仿宋" w:eastAsia="仿宋"/>
          <w:b w:val="0"/>
          <w:bCs/>
          <w:sz w:val="32"/>
          <w:szCs w:val="32"/>
          <w:lang w:eastAsia="zh-CN"/>
        </w:rPr>
      </w:pPr>
      <w:r>
        <w:rPr>
          <w:rStyle w:val="19"/>
          <w:rFonts w:hint="eastAsia" w:ascii="仿宋" w:hAnsi="仿宋" w:eastAsia="仿宋"/>
          <w:b w:val="0"/>
          <w:bCs/>
          <w:sz w:val="32"/>
          <w:szCs w:val="32"/>
          <w:lang w:val="en-US" w:eastAsia="zh-CN"/>
        </w:rPr>
        <w:t>4.卫生健康（</w:t>
      </w:r>
      <w:r>
        <w:rPr>
          <w:rStyle w:val="19"/>
          <w:rFonts w:hint="eastAsia" w:ascii="仿宋" w:hAnsi="仿宋" w:eastAsia="仿宋"/>
          <w:b w:val="0"/>
          <w:bCs/>
          <w:sz w:val="32"/>
          <w:szCs w:val="32"/>
        </w:rPr>
        <w:t>类）</w:t>
      </w:r>
      <w:r>
        <w:rPr>
          <w:rStyle w:val="19"/>
          <w:rFonts w:hint="eastAsia" w:ascii="仿宋" w:hAnsi="仿宋" w:eastAsia="仿宋"/>
          <w:b w:val="0"/>
          <w:bCs/>
          <w:sz w:val="32"/>
          <w:szCs w:val="32"/>
          <w:lang w:val="en-US" w:eastAsia="zh-CN"/>
        </w:rPr>
        <w:t>公共卫生</w:t>
      </w:r>
      <w:r>
        <w:rPr>
          <w:rStyle w:val="19"/>
          <w:rFonts w:hint="eastAsia" w:ascii="仿宋" w:hAnsi="仿宋" w:eastAsia="仿宋"/>
          <w:b w:val="0"/>
          <w:bCs/>
          <w:sz w:val="32"/>
          <w:szCs w:val="32"/>
        </w:rPr>
        <w:t>（款）</w:t>
      </w:r>
      <w:r>
        <w:rPr>
          <w:rStyle w:val="19"/>
          <w:rFonts w:hint="eastAsia" w:ascii="仿宋" w:hAnsi="仿宋" w:eastAsia="仿宋"/>
          <w:b w:val="0"/>
          <w:bCs/>
          <w:sz w:val="32"/>
          <w:szCs w:val="32"/>
          <w:lang w:val="en-US" w:eastAsia="zh-CN"/>
        </w:rPr>
        <w:t>基本公共卫生服务</w:t>
      </w:r>
      <w:r>
        <w:rPr>
          <w:rStyle w:val="19"/>
          <w:rFonts w:hint="eastAsia" w:ascii="仿宋" w:hAnsi="仿宋" w:eastAsia="仿宋"/>
          <w:b w:val="0"/>
          <w:bCs/>
          <w:sz w:val="32"/>
          <w:szCs w:val="32"/>
        </w:rPr>
        <w:t>（项）:支出决算为</w:t>
      </w:r>
      <w:r>
        <w:rPr>
          <w:rStyle w:val="19"/>
          <w:rFonts w:hint="eastAsia" w:ascii="仿宋" w:hAnsi="仿宋" w:eastAsia="仿宋"/>
          <w:b w:val="0"/>
          <w:bCs/>
          <w:sz w:val="32"/>
          <w:szCs w:val="32"/>
          <w:lang w:val="en-US" w:eastAsia="zh-CN"/>
        </w:rPr>
        <w:t>200.65</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hint="eastAsia" w:ascii="仿宋" w:hAnsi="仿宋" w:eastAsia="仿宋"/>
          <w:b w:val="0"/>
          <w:bCs/>
          <w:sz w:val="32"/>
          <w:szCs w:val="32"/>
        </w:rPr>
        <w:t>%</w:t>
      </w:r>
      <w:r>
        <w:rPr>
          <w:rStyle w:val="19"/>
          <w:rFonts w:hint="eastAsia" w:ascii="仿宋" w:hAnsi="仿宋" w:eastAsia="仿宋"/>
          <w:b w:val="0"/>
          <w:bCs/>
          <w:sz w:val="32"/>
          <w:szCs w:val="32"/>
          <w:lang w:eastAsia="zh-CN"/>
        </w:rPr>
        <w:t>。</w:t>
      </w:r>
    </w:p>
    <w:p>
      <w:pPr>
        <w:spacing w:line="600" w:lineRule="exact"/>
        <w:ind w:firstLine="640" w:firstLineChars="200"/>
        <w:rPr>
          <w:rStyle w:val="19"/>
          <w:rFonts w:hint="eastAsia" w:ascii="仿宋" w:hAnsi="仿宋" w:eastAsia="仿宋"/>
          <w:b w:val="0"/>
          <w:bCs/>
          <w:sz w:val="32"/>
          <w:szCs w:val="32"/>
          <w:lang w:eastAsia="zh-CN"/>
        </w:rPr>
      </w:pPr>
      <w:r>
        <w:rPr>
          <w:rStyle w:val="19"/>
          <w:rFonts w:hint="eastAsia" w:ascii="仿宋" w:hAnsi="仿宋" w:eastAsia="仿宋"/>
          <w:b w:val="0"/>
          <w:bCs/>
          <w:sz w:val="32"/>
          <w:szCs w:val="32"/>
          <w:lang w:val="en-US" w:eastAsia="zh-CN"/>
        </w:rPr>
        <w:t>5.卫生健康（类）公共卫生（款）重大公共卫生服务（项）:支出决算为23.9万元，完成预算100%。</w:t>
      </w:r>
    </w:p>
    <w:p>
      <w:pPr>
        <w:spacing w:line="600" w:lineRule="exact"/>
        <w:ind w:firstLine="640" w:firstLineChars="200"/>
        <w:rPr>
          <w:rStyle w:val="19"/>
          <w:rFonts w:hint="eastAsia" w:ascii="仿宋" w:hAnsi="仿宋" w:eastAsia="仿宋"/>
          <w:b w:val="0"/>
          <w:bCs/>
          <w:sz w:val="32"/>
          <w:szCs w:val="32"/>
          <w:lang w:eastAsia="zh-CN"/>
        </w:rPr>
      </w:pPr>
      <w:r>
        <w:rPr>
          <w:rStyle w:val="19"/>
          <w:rFonts w:hint="eastAsia" w:ascii="仿宋" w:hAnsi="仿宋" w:eastAsia="仿宋"/>
          <w:b w:val="0"/>
          <w:bCs/>
          <w:sz w:val="32"/>
          <w:szCs w:val="32"/>
          <w:lang w:val="en-US" w:eastAsia="zh-CN"/>
        </w:rPr>
        <w:t>6.</w:t>
      </w:r>
      <w:r>
        <w:rPr>
          <w:rStyle w:val="19"/>
          <w:rFonts w:hint="eastAsia" w:ascii="仿宋" w:hAnsi="仿宋" w:eastAsia="仿宋"/>
          <w:b w:val="0"/>
          <w:bCs/>
          <w:sz w:val="32"/>
          <w:szCs w:val="32"/>
        </w:rPr>
        <w:t>卫生健康（类）</w:t>
      </w:r>
      <w:r>
        <w:rPr>
          <w:rStyle w:val="19"/>
          <w:rFonts w:hint="eastAsia" w:ascii="仿宋" w:hAnsi="仿宋" w:eastAsia="仿宋"/>
          <w:b w:val="0"/>
          <w:bCs/>
          <w:sz w:val="32"/>
          <w:szCs w:val="32"/>
          <w:lang w:val="en-US" w:eastAsia="zh-CN"/>
        </w:rPr>
        <w:t>行政事业单位医疗</w:t>
      </w:r>
      <w:r>
        <w:rPr>
          <w:rStyle w:val="19"/>
          <w:rFonts w:hint="eastAsia" w:ascii="仿宋" w:hAnsi="仿宋" w:eastAsia="仿宋"/>
          <w:b w:val="0"/>
          <w:bCs/>
          <w:sz w:val="32"/>
          <w:szCs w:val="32"/>
        </w:rPr>
        <w:t>（款）</w:t>
      </w:r>
      <w:r>
        <w:rPr>
          <w:rStyle w:val="19"/>
          <w:rFonts w:hint="eastAsia" w:ascii="仿宋" w:hAnsi="仿宋" w:eastAsia="仿宋"/>
          <w:b w:val="0"/>
          <w:bCs/>
          <w:sz w:val="32"/>
          <w:szCs w:val="32"/>
          <w:lang w:val="en-US" w:eastAsia="zh-CN"/>
        </w:rPr>
        <w:t>事业单位医疗</w:t>
      </w:r>
      <w:r>
        <w:rPr>
          <w:rStyle w:val="19"/>
          <w:rFonts w:hint="eastAsia" w:ascii="仿宋" w:hAnsi="仿宋" w:eastAsia="仿宋"/>
          <w:b w:val="0"/>
          <w:bCs/>
          <w:sz w:val="32"/>
          <w:szCs w:val="32"/>
        </w:rPr>
        <w:t>（项）:支出决算为</w:t>
      </w:r>
      <w:r>
        <w:rPr>
          <w:rStyle w:val="19"/>
          <w:rFonts w:hint="eastAsia" w:ascii="仿宋" w:hAnsi="仿宋" w:eastAsia="仿宋"/>
          <w:b w:val="0"/>
          <w:bCs/>
          <w:sz w:val="32"/>
          <w:szCs w:val="32"/>
          <w:lang w:val="en-US" w:eastAsia="zh-CN"/>
        </w:rPr>
        <w:t>40.83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hint="eastAsia" w:ascii="仿宋" w:hAnsi="仿宋" w:eastAsia="仿宋"/>
          <w:b w:val="0"/>
          <w:bCs/>
          <w:sz w:val="32"/>
          <w:szCs w:val="32"/>
        </w:rPr>
        <w:t>%</w:t>
      </w:r>
      <w:r>
        <w:rPr>
          <w:rStyle w:val="19"/>
          <w:rFonts w:hint="eastAsia" w:ascii="仿宋" w:hAnsi="仿宋" w:eastAsia="仿宋"/>
          <w:b w:val="0"/>
          <w:bCs/>
          <w:sz w:val="32"/>
          <w:szCs w:val="32"/>
          <w:lang w:eastAsia="zh-CN"/>
        </w:rPr>
        <w:t>。</w:t>
      </w:r>
    </w:p>
    <w:p>
      <w:pPr>
        <w:spacing w:line="600" w:lineRule="exact"/>
        <w:ind w:firstLine="640" w:firstLineChars="200"/>
        <w:rPr>
          <w:rStyle w:val="19"/>
          <w:rFonts w:hint="eastAsia" w:ascii="仿宋" w:hAnsi="仿宋" w:eastAsia="仿宋"/>
          <w:b w:val="0"/>
          <w:bCs/>
          <w:sz w:val="32"/>
          <w:szCs w:val="32"/>
          <w:lang w:eastAsia="zh-CN"/>
        </w:rPr>
      </w:pPr>
      <w:r>
        <w:rPr>
          <w:rStyle w:val="19"/>
          <w:rFonts w:hint="eastAsia" w:ascii="仿宋" w:hAnsi="仿宋" w:eastAsia="仿宋"/>
          <w:b w:val="0"/>
          <w:bCs/>
          <w:sz w:val="32"/>
          <w:szCs w:val="32"/>
          <w:lang w:val="en-US" w:eastAsia="zh-CN"/>
        </w:rPr>
        <w:t>7.</w:t>
      </w:r>
      <w:r>
        <w:rPr>
          <w:rStyle w:val="19"/>
          <w:rFonts w:hint="eastAsia" w:ascii="仿宋" w:hAnsi="仿宋" w:eastAsia="仿宋"/>
          <w:b w:val="0"/>
          <w:bCs/>
          <w:sz w:val="32"/>
          <w:szCs w:val="32"/>
        </w:rPr>
        <w:t>卫生健康（类）</w:t>
      </w:r>
      <w:r>
        <w:rPr>
          <w:rStyle w:val="19"/>
          <w:rFonts w:hint="eastAsia" w:ascii="仿宋" w:hAnsi="仿宋" w:eastAsia="仿宋"/>
          <w:b w:val="0"/>
          <w:bCs/>
          <w:sz w:val="32"/>
          <w:szCs w:val="32"/>
          <w:lang w:val="en-US" w:eastAsia="zh-CN"/>
        </w:rPr>
        <w:t>其他卫生健康支出</w:t>
      </w:r>
      <w:r>
        <w:rPr>
          <w:rStyle w:val="19"/>
          <w:rFonts w:hint="eastAsia" w:ascii="仿宋" w:hAnsi="仿宋" w:eastAsia="仿宋"/>
          <w:b w:val="0"/>
          <w:bCs/>
          <w:sz w:val="32"/>
          <w:szCs w:val="32"/>
        </w:rPr>
        <w:t>（款）</w:t>
      </w:r>
      <w:r>
        <w:rPr>
          <w:rStyle w:val="19"/>
          <w:rFonts w:hint="eastAsia" w:ascii="仿宋" w:hAnsi="仿宋" w:eastAsia="仿宋"/>
          <w:b w:val="0"/>
          <w:bCs/>
          <w:sz w:val="32"/>
          <w:szCs w:val="32"/>
          <w:lang w:val="en-US" w:eastAsia="zh-CN"/>
        </w:rPr>
        <w:t>其他卫生健康支出</w:t>
      </w:r>
      <w:r>
        <w:rPr>
          <w:rStyle w:val="19"/>
          <w:rFonts w:hint="eastAsia" w:ascii="仿宋" w:hAnsi="仿宋" w:eastAsia="仿宋"/>
          <w:b w:val="0"/>
          <w:bCs/>
          <w:sz w:val="32"/>
          <w:szCs w:val="32"/>
        </w:rPr>
        <w:t>（项）:支出决算为</w:t>
      </w:r>
      <w:r>
        <w:rPr>
          <w:rStyle w:val="19"/>
          <w:rFonts w:hint="eastAsia" w:ascii="仿宋" w:hAnsi="仿宋" w:eastAsia="仿宋"/>
          <w:b w:val="0"/>
          <w:bCs/>
          <w:sz w:val="32"/>
          <w:szCs w:val="32"/>
          <w:lang w:val="en-US" w:eastAsia="zh-CN"/>
        </w:rPr>
        <w:t>100</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hint="eastAsia" w:ascii="仿宋" w:hAnsi="仿宋" w:eastAsia="仿宋"/>
          <w:b w:val="0"/>
          <w:bCs/>
          <w:sz w:val="32"/>
          <w:szCs w:val="32"/>
        </w:rPr>
        <w:t>%</w:t>
      </w:r>
      <w:r>
        <w:rPr>
          <w:rStyle w:val="19"/>
          <w:rFonts w:hint="eastAsia" w:ascii="仿宋" w:hAnsi="仿宋" w:eastAsia="仿宋"/>
          <w:b w:val="0"/>
          <w:bCs/>
          <w:sz w:val="32"/>
          <w:szCs w:val="32"/>
          <w:lang w:eastAsia="zh-CN"/>
        </w:rPr>
        <w:t>。</w:t>
      </w:r>
    </w:p>
    <w:p>
      <w:pPr>
        <w:spacing w:line="600" w:lineRule="exact"/>
        <w:ind w:firstLine="640" w:firstLineChars="200"/>
        <w:rPr>
          <w:rStyle w:val="19"/>
          <w:rFonts w:hint="eastAsia" w:ascii="仿宋" w:hAnsi="仿宋" w:eastAsia="仿宋"/>
          <w:b w:val="0"/>
          <w:bCs/>
          <w:sz w:val="32"/>
          <w:szCs w:val="32"/>
        </w:rPr>
      </w:pPr>
      <w:r>
        <w:rPr>
          <w:rStyle w:val="19"/>
          <w:rFonts w:hint="eastAsia" w:ascii="仿宋" w:hAnsi="仿宋" w:eastAsia="仿宋"/>
          <w:b w:val="0"/>
          <w:bCs/>
          <w:sz w:val="32"/>
          <w:szCs w:val="32"/>
          <w:lang w:val="en-US" w:eastAsia="zh-CN"/>
        </w:rPr>
        <w:t>8.农林水支出</w:t>
      </w:r>
      <w:r>
        <w:rPr>
          <w:rStyle w:val="19"/>
          <w:rFonts w:hint="eastAsia" w:ascii="仿宋" w:hAnsi="仿宋" w:eastAsia="仿宋"/>
          <w:b w:val="0"/>
          <w:bCs/>
          <w:sz w:val="32"/>
          <w:szCs w:val="32"/>
        </w:rPr>
        <w:t>（类）</w:t>
      </w:r>
      <w:r>
        <w:rPr>
          <w:rStyle w:val="19"/>
          <w:rFonts w:hint="eastAsia" w:ascii="仿宋" w:hAnsi="仿宋" w:eastAsia="仿宋"/>
          <w:b w:val="0"/>
          <w:bCs/>
          <w:sz w:val="32"/>
          <w:szCs w:val="32"/>
          <w:lang w:val="en-US" w:eastAsia="zh-CN"/>
        </w:rPr>
        <w:t>巩固脱贫衔接乡村振兴</w:t>
      </w:r>
      <w:r>
        <w:rPr>
          <w:rStyle w:val="19"/>
          <w:rFonts w:hint="eastAsia" w:ascii="仿宋" w:hAnsi="仿宋" w:eastAsia="仿宋"/>
          <w:b w:val="0"/>
          <w:bCs/>
          <w:sz w:val="32"/>
          <w:szCs w:val="32"/>
        </w:rPr>
        <w:t>（款）</w:t>
      </w:r>
      <w:r>
        <w:rPr>
          <w:rStyle w:val="19"/>
          <w:rFonts w:hint="eastAsia" w:ascii="仿宋" w:hAnsi="仿宋" w:eastAsia="仿宋"/>
          <w:b w:val="0"/>
          <w:bCs/>
          <w:sz w:val="32"/>
          <w:szCs w:val="32"/>
          <w:lang w:val="en-US" w:eastAsia="zh-CN"/>
        </w:rPr>
        <w:t>社会发展</w:t>
      </w:r>
      <w:r>
        <w:rPr>
          <w:rStyle w:val="19"/>
          <w:rFonts w:hint="eastAsia" w:ascii="仿宋" w:hAnsi="仿宋" w:eastAsia="仿宋"/>
          <w:b w:val="0"/>
          <w:bCs/>
          <w:sz w:val="32"/>
          <w:szCs w:val="32"/>
        </w:rPr>
        <w:t>（项）:支出决算为</w:t>
      </w:r>
      <w:r>
        <w:rPr>
          <w:rStyle w:val="19"/>
          <w:rFonts w:hint="eastAsia" w:ascii="仿宋" w:hAnsi="仿宋" w:eastAsia="仿宋"/>
          <w:b w:val="0"/>
          <w:bCs/>
          <w:sz w:val="32"/>
          <w:szCs w:val="32"/>
          <w:lang w:val="en-US" w:eastAsia="zh-CN"/>
        </w:rPr>
        <w:t>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hint="eastAsia" w:ascii="仿宋" w:hAnsi="仿宋" w:eastAsia="仿宋"/>
          <w:b w:val="0"/>
          <w:bCs/>
          <w:sz w:val="32"/>
          <w:szCs w:val="32"/>
        </w:rPr>
        <w:t>%。</w:t>
      </w:r>
    </w:p>
    <w:p>
      <w:pPr>
        <w:spacing w:line="600" w:lineRule="exact"/>
        <w:ind w:firstLine="640" w:firstLineChars="200"/>
        <w:rPr>
          <w:rStyle w:val="19"/>
          <w:rFonts w:hint="eastAsia" w:ascii="仿宋" w:hAnsi="仿宋" w:eastAsia="仿宋"/>
          <w:b w:val="0"/>
          <w:bCs/>
          <w:sz w:val="32"/>
          <w:szCs w:val="32"/>
        </w:rPr>
      </w:pPr>
      <w:r>
        <w:rPr>
          <w:rStyle w:val="19"/>
          <w:rFonts w:hint="eastAsia" w:ascii="仿宋" w:hAnsi="仿宋" w:eastAsia="仿宋"/>
          <w:b w:val="0"/>
          <w:bCs/>
          <w:sz w:val="32"/>
          <w:szCs w:val="32"/>
          <w:lang w:val="en-US" w:eastAsia="zh-CN"/>
        </w:rPr>
        <w:t>9.住房保障支出</w:t>
      </w:r>
      <w:r>
        <w:rPr>
          <w:rStyle w:val="19"/>
          <w:rFonts w:hint="eastAsia" w:ascii="仿宋" w:hAnsi="仿宋" w:eastAsia="仿宋"/>
          <w:b w:val="0"/>
          <w:bCs/>
          <w:sz w:val="32"/>
          <w:szCs w:val="32"/>
        </w:rPr>
        <w:t>（类）</w:t>
      </w:r>
      <w:r>
        <w:rPr>
          <w:rStyle w:val="19"/>
          <w:rFonts w:hint="eastAsia" w:ascii="仿宋" w:hAnsi="仿宋" w:eastAsia="仿宋"/>
          <w:b w:val="0"/>
          <w:bCs/>
          <w:sz w:val="32"/>
          <w:szCs w:val="32"/>
          <w:lang w:val="en-US" w:eastAsia="zh-CN"/>
        </w:rPr>
        <w:t>住房改革支出</w:t>
      </w:r>
      <w:r>
        <w:rPr>
          <w:rStyle w:val="19"/>
          <w:rFonts w:hint="eastAsia" w:ascii="仿宋" w:hAnsi="仿宋" w:eastAsia="仿宋"/>
          <w:b w:val="0"/>
          <w:bCs/>
          <w:sz w:val="32"/>
          <w:szCs w:val="32"/>
        </w:rPr>
        <w:t>（款）</w:t>
      </w:r>
      <w:r>
        <w:rPr>
          <w:rStyle w:val="19"/>
          <w:rFonts w:hint="eastAsia" w:ascii="仿宋" w:hAnsi="仿宋" w:eastAsia="仿宋"/>
          <w:b w:val="0"/>
          <w:bCs/>
          <w:sz w:val="32"/>
          <w:szCs w:val="32"/>
          <w:lang w:val="en-US" w:eastAsia="zh-CN"/>
        </w:rPr>
        <w:t>住房公积金</w:t>
      </w:r>
      <w:r>
        <w:rPr>
          <w:rStyle w:val="19"/>
          <w:rFonts w:hint="eastAsia" w:ascii="仿宋" w:hAnsi="仿宋" w:eastAsia="仿宋"/>
          <w:b w:val="0"/>
          <w:bCs/>
          <w:sz w:val="32"/>
          <w:szCs w:val="32"/>
        </w:rPr>
        <w:t>（项）:支出决算为</w:t>
      </w:r>
      <w:r>
        <w:rPr>
          <w:rStyle w:val="19"/>
          <w:rFonts w:hint="eastAsia" w:ascii="仿宋" w:hAnsi="仿宋" w:eastAsia="仿宋"/>
          <w:b w:val="0"/>
          <w:bCs/>
          <w:sz w:val="32"/>
          <w:szCs w:val="32"/>
          <w:lang w:val="en-US" w:eastAsia="zh-CN"/>
        </w:rPr>
        <w:t>18.3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hint="eastAsia" w:ascii="仿宋" w:hAnsi="仿宋" w:eastAsia="仿宋"/>
          <w:b w:val="0"/>
          <w:bCs/>
          <w:sz w:val="32"/>
          <w:szCs w:val="32"/>
        </w:rPr>
        <w:t>%</w:t>
      </w:r>
      <w:r>
        <w:rPr>
          <w:rStyle w:val="19"/>
          <w:rFonts w:hint="eastAsia" w:ascii="仿宋" w:hAnsi="仿宋" w:eastAsia="仿宋"/>
          <w:b w:val="0"/>
          <w:bCs/>
          <w:sz w:val="32"/>
          <w:szCs w:val="32"/>
          <w:lang w:eastAsia="zh-CN"/>
        </w:rPr>
        <w:t>。</w:t>
      </w:r>
    </w:p>
    <w:p>
      <w:pPr>
        <w:tabs>
          <w:tab w:val="right" w:pos="8306"/>
        </w:tabs>
        <w:spacing w:line="600" w:lineRule="exact"/>
        <w:ind w:firstLine="640"/>
        <w:outlineLvl w:val="1"/>
        <w:rPr>
          <w:rStyle w:val="30"/>
        </w:rPr>
      </w:pPr>
      <w:bookmarkStart w:id="48" w:name="_Toc15377214"/>
      <w:bookmarkStart w:id="49" w:name="_Toc10913"/>
      <w:bookmarkStart w:id="50"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48"/>
      <w:bookmarkEnd w:id="49"/>
      <w:bookmarkEnd w:id="50"/>
      <w:r>
        <w:rPr>
          <w:rStyle w:val="3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1001.96</w:t>
      </w:r>
      <w:r>
        <w:rPr>
          <w:rFonts w:hint="eastAsia" w:ascii="仿宋" w:hAnsi="仿宋" w:eastAsia="仿宋"/>
          <w:sz w:val="32"/>
          <w:szCs w:val="32"/>
        </w:rPr>
        <w:t>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899.77</w:t>
      </w:r>
      <w:r>
        <w:rPr>
          <w:rFonts w:hint="eastAsia" w:ascii="仿宋" w:hAnsi="仿宋" w:eastAsia="仿宋"/>
          <w:sz w:val="32"/>
          <w:szCs w:val="32"/>
        </w:rPr>
        <w:t>万元，主要包括：基本工资、津贴补贴、绩效工资、机关事业单位基本养老保险缴费、职工基本医疗保险缴费</w:t>
      </w:r>
      <w:r>
        <w:rPr>
          <w:rFonts w:hint="eastAsia" w:ascii="仿宋" w:hAnsi="仿宋" w:eastAsia="仿宋"/>
          <w:sz w:val="32"/>
          <w:szCs w:val="32"/>
          <w:lang w:eastAsia="zh-CN"/>
        </w:rPr>
        <w:t>、</w:t>
      </w:r>
      <w:r>
        <w:rPr>
          <w:rFonts w:hint="eastAsia" w:ascii="仿宋" w:hAnsi="仿宋" w:eastAsia="仿宋"/>
          <w:sz w:val="32"/>
          <w:szCs w:val="32"/>
        </w:rPr>
        <w:t>其他社会保障缴费、其他工资福利支出、生活补助、住房公积金、对个人和家庭的补助支出等。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102.19</w:t>
      </w:r>
      <w:r>
        <w:rPr>
          <w:rFonts w:hint="eastAsia" w:ascii="仿宋" w:hAnsi="仿宋" w:eastAsia="仿宋"/>
          <w:sz w:val="32"/>
          <w:szCs w:val="32"/>
        </w:rPr>
        <w:t>万元，主要包括：办公费、印刷费、水费、电费、邮电费、差旅费、培训费</w:t>
      </w:r>
      <w:r>
        <w:rPr>
          <w:rFonts w:hint="eastAsia" w:ascii="仿宋" w:hAnsi="仿宋" w:eastAsia="仿宋"/>
          <w:sz w:val="32"/>
          <w:szCs w:val="32"/>
          <w:lang w:eastAsia="zh-CN"/>
        </w:rPr>
        <w:t>、专用材料费</w:t>
      </w:r>
      <w:r>
        <w:rPr>
          <w:rFonts w:hint="eastAsia" w:ascii="仿宋" w:hAnsi="仿宋" w:eastAsia="仿宋"/>
          <w:sz w:val="32"/>
          <w:szCs w:val="32"/>
        </w:rPr>
        <w:t>等。</w:t>
      </w:r>
    </w:p>
    <w:p>
      <w:pPr>
        <w:spacing w:line="600" w:lineRule="exact"/>
        <w:ind w:firstLine="640"/>
        <w:outlineLvl w:val="1"/>
        <w:rPr>
          <w:rStyle w:val="30"/>
          <w:rFonts w:ascii="黑体" w:hAnsi="黑体" w:eastAsia="黑体"/>
          <w:b w:val="0"/>
        </w:rPr>
      </w:pPr>
      <w:bookmarkStart w:id="51" w:name="_Toc15377215"/>
      <w:bookmarkStart w:id="52" w:name="_Toc15396609"/>
      <w:bookmarkStart w:id="53" w:name="_Toc30740"/>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51"/>
      <w:bookmarkEnd w:id="52"/>
      <w:bookmarkEnd w:id="53"/>
    </w:p>
    <w:p>
      <w:pPr>
        <w:spacing w:line="600" w:lineRule="exact"/>
        <w:ind w:firstLine="640"/>
        <w:outlineLvl w:val="2"/>
        <w:rPr>
          <w:rFonts w:ascii="仿宋" w:hAnsi="仿宋" w:eastAsia="仿宋"/>
          <w:b/>
          <w:sz w:val="32"/>
          <w:szCs w:val="32"/>
        </w:rPr>
      </w:pPr>
      <w:bookmarkStart w:id="54" w:name="_Toc15377216"/>
      <w:r>
        <w:rPr>
          <w:rFonts w:hint="eastAsia" w:ascii="仿宋" w:hAnsi="仿宋" w:eastAsia="仿宋"/>
          <w:b/>
          <w:sz w:val="32"/>
          <w:szCs w:val="32"/>
        </w:rPr>
        <w:t>（一）“三公”经费财政拨款支出决算总体情况说明</w:t>
      </w:r>
      <w:bookmarkEnd w:id="54"/>
    </w:p>
    <w:p>
      <w:pPr>
        <w:spacing w:line="600" w:lineRule="exact"/>
        <w:ind w:firstLine="640" w:firstLineChars="200"/>
      </w:pPr>
      <w:r>
        <w:rPr>
          <w:rFonts w:ascii="仿宋" w:hAnsi="仿宋" w:eastAsia="仿宋"/>
          <w:sz w:val="32"/>
          <w:szCs w:val="32"/>
          <w:highlight w:val="none"/>
        </w:rPr>
        <w:t>20</w:t>
      </w:r>
      <w:r>
        <w:rPr>
          <w:rFonts w:hint="eastAsia" w:ascii="仿宋" w:hAnsi="仿宋" w:eastAsia="仿宋"/>
          <w:sz w:val="32"/>
          <w:szCs w:val="32"/>
          <w:highlight w:val="none"/>
        </w:rPr>
        <w:t>22年“三公”经费财政拨款支出决算为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万元，完成预算</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s="仿宋"/>
          <w:sz w:val="32"/>
          <w:szCs w:val="32"/>
        </w:rPr>
        <w:t>2021年本单位未单独填报决算，由系统统一填报部门决算，故无法对比。</w:t>
      </w:r>
    </w:p>
    <w:p>
      <w:pPr>
        <w:numPr>
          <w:ilvl w:val="0"/>
          <w:numId w:val="0"/>
        </w:numPr>
        <w:spacing w:line="600" w:lineRule="exact"/>
        <w:ind w:firstLine="640" w:firstLineChars="200"/>
        <w:rPr>
          <w:rFonts w:hint="eastAsia" w:ascii="仿宋_GB2312" w:eastAsia="仿宋_GB2312"/>
          <w:sz w:val="32"/>
          <w:szCs w:val="32"/>
          <w:lang w:val="en-US" w:eastAsia="zh-CN"/>
        </w:rPr>
      </w:pPr>
    </w:p>
    <w:p>
      <w:pPr>
        <w:spacing w:line="600" w:lineRule="exact"/>
        <w:ind w:firstLine="642" w:firstLineChars="200"/>
        <w:outlineLvl w:val="2"/>
        <w:rPr>
          <w:rFonts w:ascii="仿宋" w:hAnsi="仿宋" w:eastAsia="仿宋"/>
          <w:b/>
          <w:sz w:val="32"/>
          <w:szCs w:val="32"/>
        </w:rPr>
      </w:pPr>
      <w:bookmarkStart w:id="55" w:name="_Toc15377217"/>
      <w:r>
        <w:rPr>
          <w:rFonts w:hint="eastAsia" w:ascii="仿宋" w:hAnsi="仿宋" w:eastAsia="仿宋"/>
          <w:b/>
          <w:sz w:val="32"/>
          <w:szCs w:val="32"/>
        </w:rPr>
        <w:t>（二）“三公”经费财政拨款支出决算具体情况说明</w:t>
      </w:r>
      <w:bookmarkEnd w:id="5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p>
    <w:p>
      <w:pPr>
        <w:numPr>
          <w:ilvl w:val="0"/>
          <w:numId w:val="3"/>
        </w:numPr>
        <w:spacing w:line="600" w:lineRule="exact"/>
        <w:ind w:firstLine="640"/>
        <w:rPr>
          <w:rFonts w:hint="eastAsia" w:ascii="仿宋_GB2312" w:eastAsia="仿宋_GB2312"/>
          <w:sz w:val="32"/>
          <w:szCs w:val="32"/>
        </w:rPr>
      </w:pPr>
      <w:r>
        <w:rPr>
          <w:rFonts w:hint="eastAsia" w:ascii="仿宋_GB2312" w:eastAsia="仿宋_GB2312"/>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万元，完成预算</w:t>
      </w:r>
      <w:r>
        <w:rPr>
          <w:rFonts w:hint="eastAsia" w:ascii="仿宋_GB2312" w:eastAsia="仿宋_GB2312"/>
          <w:sz w:val="32"/>
          <w:szCs w:val="32"/>
          <w:lang w:val="en-US" w:eastAsia="zh-CN"/>
        </w:rPr>
        <w:t>0</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p>
    <w:p>
      <w:pPr>
        <w:numPr>
          <w:ilvl w:val="0"/>
          <w:numId w:val="3"/>
        </w:numPr>
        <w:spacing w:line="600" w:lineRule="exact"/>
        <w:ind w:firstLine="640"/>
        <w:rPr>
          <w:rFonts w:hint="default" w:ascii="仿宋_GB2312" w:eastAsia="仿宋_GB2312"/>
          <w:b/>
          <w:sz w:val="32"/>
          <w:szCs w:val="32"/>
          <w:lang w:val="en-US" w:eastAsia="zh-CN"/>
        </w:rPr>
      </w:pPr>
      <w:r>
        <w:rPr>
          <w:rFonts w:hint="eastAsia" w:ascii="仿宋_GB2312" w:eastAsia="仿宋_GB2312"/>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万元,完成预算</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万元。主要用于…（具体工作）等所需的公务用车燃料费、维修费、过路过桥费、保险费等支出。</w:t>
      </w:r>
    </w:p>
    <w:p>
      <w:pPr>
        <w:numPr>
          <w:ilvl w:val="0"/>
          <w:numId w:val="3"/>
        </w:numPr>
        <w:spacing w:line="600" w:lineRule="exact"/>
        <w:ind w:left="0" w:leftChars="0" w:firstLine="640" w:firstLineChars="0"/>
        <w:rPr>
          <w:rFonts w:hint="eastAsia" w:ascii="仿宋_GB2312" w:eastAsia="仿宋_GB2312"/>
          <w:sz w:val="32"/>
          <w:szCs w:val="32"/>
        </w:rPr>
      </w:pPr>
      <w:r>
        <w:rPr>
          <w:rFonts w:hint="eastAsia" w:ascii="仿宋_GB2312" w:eastAsia="仿宋_GB2312"/>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万元，完成预算</w:t>
      </w:r>
      <w:r>
        <w:rPr>
          <w:rFonts w:hint="eastAsia" w:ascii="仿宋_GB2312" w:eastAsia="仿宋_GB2312"/>
          <w:sz w:val="32"/>
          <w:szCs w:val="32"/>
          <w:lang w:val="en-US" w:eastAsia="zh-CN"/>
        </w:rPr>
        <w:t>0</w:t>
      </w:r>
      <w:r>
        <w:rPr>
          <w:rFonts w:hint="eastAsia" w:ascii="仿宋_GB2312" w:eastAsia="仿宋_GB2312"/>
          <w:sz w:val="32"/>
          <w:szCs w:val="32"/>
        </w:rPr>
        <w:t>%。国内公务接待支出</w:t>
      </w:r>
      <w:r>
        <w:rPr>
          <w:rFonts w:hint="eastAsia" w:ascii="仿宋_GB2312" w:eastAsia="仿宋_GB2312"/>
          <w:sz w:val="32"/>
          <w:szCs w:val="32"/>
          <w:lang w:val="en-US" w:eastAsia="zh-CN"/>
        </w:rPr>
        <w:t>0</w:t>
      </w:r>
      <w:r>
        <w:rPr>
          <w:rFonts w:hint="eastAsia" w:ascii="仿宋_GB2312" w:eastAsia="仿宋_GB2312"/>
          <w:sz w:val="32"/>
          <w:szCs w:val="32"/>
        </w:rPr>
        <w:t>万元，国内公务接待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外事接待支出</w:t>
      </w:r>
      <w:r>
        <w:rPr>
          <w:rFonts w:hint="eastAsia" w:ascii="仿宋_GB2312" w:eastAsia="仿宋_GB2312"/>
          <w:sz w:val="32"/>
          <w:szCs w:val="32"/>
          <w:lang w:val="en-US" w:eastAsia="zh-CN"/>
        </w:rPr>
        <w:t>0</w:t>
      </w:r>
      <w:r>
        <w:rPr>
          <w:rFonts w:hint="eastAsia" w:ascii="仿宋_GB2312" w:eastAsia="仿宋_GB2312"/>
          <w:sz w:val="32"/>
          <w:szCs w:val="32"/>
        </w:rPr>
        <w:t>万元，共计支出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56" w:name="_Toc15377218"/>
      <w:bookmarkStart w:id="57" w:name="_Toc15396610"/>
    </w:p>
    <w:p>
      <w:pPr>
        <w:spacing w:line="600" w:lineRule="exact"/>
        <w:ind w:firstLine="640"/>
        <w:outlineLvl w:val="1"/>
        <w:rPr>
          <w:rStyle w:val="30"/>
          <w:rFonts w:ascii="黑体" w:hAnsi="黑体" w:eastAsia="黑体"/>
        </w:rPr>
      </w:pPr>
      <w:bookmarkStart w:id="58" w:name="_Toc22584"/>
      <w:r>
        <w:rPr>
          <w:rFonts w:hint="eastAsia" w:ascii="黑体" w:eastAsia="黑体"/>
          <w:sz w:val="32"/>
          <w:szCs w:val="32"/>
        </w:rPr>
        <w:t>八、</w:t>
      </w:r>
      <w:r>
        <w:rPr>
          <w:rStyle w:val="30"/>
          <w:rFonts w:hint="eastAsia" w:ascii="黑体" w:hAnsi="黑体" w:eastAsia="黑体"/>
          <w:b w:val="0"/>
        </w:rPr>
        <w:t>政府性基金预算支出决算情况说明</w:t>
      </w:r>
      <w:bookmarkEnd w:id="56"/>
      <w:bookmarkEnd w:id="57"/>
      <w:bookmarkEnd w:id="58"/>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无</w:t>
      </w:r>
      <w:r>
        <w:rPr>
          <w:rFonts w:hint="eastAsia" w:ascii="仿宋_GB2312" w:eastAsia="仿宋_GB2312"/>
          <w:sz w:val="32"/>
          <w:szCs w:val="32"/>
        </w:rPr>
        <w:t>政府性基金预算财政拨款支出。</w:t>
      </w:r>
    </w:p>
    <w:p>
      <w:pPr>
        <w:numPr>
          <w:ilvl w:val="0"/>
          <w:numId w:val="4"/>
        </w:numPr>
        <w:spacing w:line="600" w:lineRule="exact"/>
        <w:ind w:firstLine="640"/>
        <w:outlineLvl w:val="1"/>
        <w:rPr>
          <w:rStyle w:val="30"/>
          <w:rFonts w:ascii="黑体" w:hAnsi="黑体" w:eastAsia="黑体"/>
          <w:b w:val="0"/>
        </w:rPr>
      </w:pPr>
      <w:bookmarkStart w:id="59" w:name="_Toc25413"/>
      <w:bookmarkStart w:id="60" w:name="_Toc15377219"/>
      <w:bookmarkStart w:id="61" w:name="_Toc15396611"/>
      <w:r>
        <w:rPr>
          <w:rStyle w:val="30"/>
          <w:rFonts w:hint="eastAsia" w:ascii="黑体" w:hAnsi="黑体" w:eastAsia="黑体"/>
          <w:b w:val="0"/>
        </w:rPr>
        <w:t>国有资本经营预算支出决算情况说明</w:t>
      </w:r>
      <w:bookmarkEnd w:id="59"/>
      <w:bookmarkEnd w:id="60"/>
      <w:bookmarkEnd w:id="61"/>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无</w:t>
      </w:r>
      <w:r>
        <w:rPr>
          <w:rFonts w:hint="eastAsia" w:ascii="仿宋_GB2312" w:eastAsia="仿宋_GB2312"/>
          <w:sz w:val="32"/>
          <w:szCs w:val="32"/>
        </w:rPr>
        <w:t>国有资本经营预算财政拨款支出。</w:t>
      </w:r>
    </w:p>
    <w:p>
      <w:pPr>
        <w:numPr>
          <w:ilvl w:val="0"/>
          <w:numId w:val="4"/>
        </w:numPr>
        <w:spacing w:line="600" w:lineRule="exact"/>
        <w:ind w:firstLine="640"/>
        <w:outlineLvl w:val="1"/>
        <w:rPr>
          <w:rStyle w:val="30"/>
          <w:rFonts w:ascii="黑体" w:hAnsi="黑体" w:eastAsia="黑体"/>
          <w:b w:val="0"/>
        </w:rPr>
      </w:pPr>
      <w:bookmarkStart w:id="62" w:name="_Toc15396612"/>
      <w:bookmarkStart w:id="63" w:name="_Toc28895"/>
      <w:bookmarkStart w:id="64" w:name="_Toc15377221"/>
      <w:r>
        <w:rPr>
          <w:rStyle w:val="30"/>
          <w:rFonts w:hint="eastAsia" w:ascii="黑体" w:hAnsi="黑体" w:eastAsia="黑体"/>
          <w:b w:val="0"/>
        </w:rPr>
        <w:t>其他重要事项的情况说明</w:t>
      </w:r>
      <w:bookmarkEnd w:id="62"/>
      <w:bookmarkEnd w:id="63"/>
      <w:bookmarkEnd w:id="64"/>
    </w:p>
    <w:p>
      <w:pPr>
        <w:spacing w:line="600" w:lineRule="exact"/>
        <w:ind w:firstLine="642"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20</w:t>
      </w:r>
      <w:r>
        <w:rPr>
          <w:rFonts w:hint="eastAsia" w:ascii="仿宋_GB2312" w:eastAsia="仿宋_GB2312"/>
          <w:sz w:val="32"/>
          <w:szCs w:val="32"/>
          <w:highlight w:val="none"/>
        </w:rPr>
        <w:t>22年</w:t>
      </w:r>
      <w:r>
        <w:rPr>
          <w:rFonts w:hint="eastAsia" w:ascii="仿宋_GB2312" w:eastAsia="仿宋_GB2312"/>
          <w:sz w:val="32"/>
          <w:szCs w:val="32"/>
          <w:highlight w:val="none"/>
          <w:lang w:val="en-US" w:eastAsia="zh-CN"/>
        </w:rPr>
        <w:t>剑阁县白龙镇中心卫生院</w:t>
      </w:r>
      <w:r>
        <w:rPr>
          <w:rFonts w:hint="eastAsia" w:ascii="仿宋_GB2312" w:eastAsia="仿宋_GB2312"/>
          <w:sz w:val="32"/>
          <w:szCs w:val="32"/>
          <w:highlight w:val="none"/>
        </w:rPr>
        <w:t>机关运行经费支出</w:t>
      </w:r>
      <w:r>
        <w:rPr>
          <w:rFonts w:hint="eastAsia" w:ascii="仿宋_GB2312" w:eastAsia="仿宋_GB2312"/>
          <w:sz w:val="32"/>
          <w:szCs w:val="32"/>
          <w:highlight w:val="none"/>
          <w:lang w:val="en-US" w:eastAsia="zh-CN"/>
        </w:rPr>
        <w:t>0万元</w:t>
      </w:r>
      <w:r>
        <w:rPr>
          <w:rFonts w:hint="eastAsia" w:ascii="仿宋_GB2312" w:eastAsia="仿宋_GB2312"/>
          <w:sz w:val="32"/>
          <w:szCs w:val="32"/>
          <w:highlight w:val="none"/>
        </w:rPr>
        <w:t>。</w:t>
      </w:r>
      <w:r>
        <w:rPr>
          <w:rFonts w:hint="eastAsia" w:ascii="仿宋_GB2312" w:eastAsia="仿宋_GB2312"/>
          <w:sz w:val="32"/>
          <w:szCs w:val="32"/>
          <w:lang w:val="en-US" w:eastAsia="zh-CN"/>
        </w:rPr>
        <w:t>本单位属于事业单位，无机关运行经费支出。</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剑阁县白龙镇中心卫生院</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剑阁县白龙镇中心卫生院</w:t>
      </w:r>
      <w:r>
        <w:rPr>
          <w:rFonts w:hint="eastAsia" w:ascii="仿宋_GB2312" w:eastAsia="仿宋_GB2312"/>
          <w:sz w:val="32"/>
          <w:szCs w:val="32"/>
        </w:rPr>
        <w:t>共有车辆</w:t>
      </w:r>
      <w:r>
        <w:rPr>
          <w:rFonts w:hint="eastAsia" w:ascii="仿宋_GB2312" w:eastAsia="仿宋_GB2312"/>
          <w:sz w:val="32"/>
          <w:szCs w:val="32"/>
          <w:lang w:val="en-US" w:eastAsia="zh-CN"/>
        </w:rPr>
        <w:t>1</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w:t>
      </w:r>
      <w:r>
        <w:rPr>
          <w:rFonts w:hint="eastAsia" w:ascii="仿宋_GB2312" w:eastAsia="仿宋_GB2312"/>
          <w:sz w:val="32"/>
          <w:szCs w:val="32"/>
          <w:lang w:val="en-US" w:eastAsia="zh-CN"/>
        </w:rPr>
        <w:t>医疗救治</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6"/>
        <w:spacing w:before="93"/>
        <w:ind w:firstLine="640" w:firstLineChars="200"/>
        <w:rPr>
          <w:highlight w:val="none"/>
        </w:rPr>
      </w:pPr>
      <w:r>
        <w:rPr>
          <w:rFonts w:hint="eastAsia" w:hAnsi="仿宋_GB2312" w:cs="仿宋_GB2312"/>
          <w:sz w:val="32"/>
          <w:szCs w:val="32"/>
          <w:highlight w:val="none"/>
        </w:rPr>
        <w:t>根据预算绩效管理要求，本单位在2022年度预算编制阶段，组织对</w:t>
      </w:r>
      <w:r>
        <w:rPr>
          <w:rFonts w:hint="eastAsia" w:hAnsi="仿宋_GB2312" w:cs="仿宋_GB2312"/>
          <w:sz w:val="32"/>
          <w:szCs w:val="32"/>
          <w:highlight w:val="none"/>
          <w:lang w:val="en-US" w:eastAsia="zh-CN"/>
        </w:rPr>
        <w:t>基本公共卫生服务</w:t>
      </w:r>
      <w:r>
        <w:rPr>
          <w:rFonts w:hint="eastAsia" w:hAnsi="仿宋_GB2312" w:cs="仿宋_GB2312"/>
          <w:sz w:val="32"/>
          <w:szCs w:val="32"/>
          <w:highlight w:val="none"/>
        </w:rPr>
        <w:t>项目等</w:t>
      </w:r>
      <w:r>
        <w:rPr>
          <w:rFonts w:hint="eastAsia" w:hAnsi="仿宋_GB2312" w:cs="仿宋_GB2312"/>
          <w:sz w:val="32"/>
          <w:szCs w:val="32"/>
          <w:highlight w:val="none"/>
          <w:lang w:val="en-US" w:eastAsia="zh-CN"/>
        </w:rPr>
        <w:t>2</w:t>
      </w:r>
      <w:r>
        <w:rPr>
          <w:rFonts w:hint="eastAsia" w:hAnsi="仿宋_GB2312" w:cs="仿宋_GB2312"/>
          <w:sz w:val="32"/>
          <w:szCs w:val="32"/>
          <w:highlight w:val="none"/>
        </w:rPr>
        <w:t>个项目开展了预算事前绩效评估，对</w:t>
      </w:r>
      <w:r>
        <w:rPr>
          <w:rFonts w:hint="eastAsia" w:hAnsi="仿宋_GB2312" w:cs="仿宋_GB2312"/>
          <w:sz w:val="32"/>
          <w:szCs w:val="32"/>
          <w:highlight w:val="none"/>
          <w:lang w:val="en-US" w:eastAsia="zh-CN"/>
        </w:rPr>
        <w:t>3</w:t>
      </w:r>
      <w:r>
        <w:rPr>
          <w:rFonts w:hint="eastAsia" w:hAnsi="仿宋_GB2312" w:cs="仿宋_GB2312"/>
          <w:sz w:val="32"/>
          <w:szCs w:val="32"/>
          <w:highlight w:val="none"/>
        </w:rPr>
        <w:t>个项目编制了绩效目标，预算执行过程中，选取</w:t>
      </w:r>
      <w:r>
        <w:rPr>
          <w:rFonts w:hint="eastAsia" w:hAnsi="仿宋_GB2312" w:cs="仿宋_GB2312"/>
          <w:sz w:val="32"/>
          <w:szCs w:val="32"/>
          <w:highlight w:val="none"/>
          <w:lang w:val="en-US" w:eastAsia="zh-CN"/>
        </w:rPr>
        <w:t>0</w:t>
      </w:r>
      <w:r>
        <w:rPr>
          <w:rFonts w:hint="eastAsia" w:hAnsi="仿宋_GB2312" w:cs="仿宋_GB2312"/>
          <w:sz w:val="32"/>
          <w:szCs w:val="32"/>
          <w:highlight w:val="none"/>
        </w:rPr>
        <w:t>个项目开展绩效监控，组织对</w:t>
      </w:r>
      <w:r>
        <w:rPr>
          <w:rFonts w:hint="eastAsia" w:hAnsi="仿宋_GB2312" w:cs="仿宋_GB2312"/>
          <w:sz w:val="32"/>
          <w:szCs w:val="32"/>
          <w:highlight w:val="none"/>
          <w:lang w:val="en-US" w:eastAsia="zh-CN"/>
        </w:rPr>
        <w:t>2</w:t>
      </w:r>
      <w:r>
        <w:rPr>
          <w:rFonts w:hint="eastAsia" w:hAnsi="仿宋_GB2312" w:cs="仿宋_GB2312"/>
          <w:sz w:val="32"/>
          <w:szCs w:val="32"/>
          <w:highlight w:val="none"/>
        </w:rPr>
        <w:t>个项目开展绩效自评，绩效自评表详见第四部分附件。</w:t>
      </w:r>
    </w:p>
    <w:p>
      <w:pPr>
        <w:widowControl/>
        <w:jc w:val="left"/>
        <w:rPr>
          <w:rFonts w:ascii="仿宋_GB2312" w:eastAsia="仿宋_GB2312"/>
          <w:b/>
          <w:sz w:val="32"/>
          <w:szCs w:val="32"/>
        </w:rPr>
      </w:pPr>
    </w:p>
    <w:p>
      <w:pPr>
        <w:numPr>
          <w:ilvl w:val="0"/>
          <w:numId w:val="5"/>
        </w:numPr>
        <w:spacing w:line="600" w:lineRule="exact"/>
        <w:ind w:firstLine="660" w:firstLineChars="150"/>
        <w:jc w:val="center"/>
        <w:outlineLvl w:val="0"/>
        <w:rPr>
          <w:rStyle w:val="29"/>
          <w:rFonts w:ascii="黑体" w:hAnsi="黑体" w:eastAsia="黑体"/>
          <w:b w:val="0"/>
        </w:rPr>
      </w:pPr>
      <w:bookmarkStart w:id="68" w:name="_Toc26687"/>
      <w:bookmarkStart w:id="69" w:name="_Toc15396613"/>
      <w:bookmarkStart w:id="70" w:name="_Toc15377225"/>
      <w:r>
        <w:rPr>
          <w:rFonts w:hint="eastAsia" w:ascii="黑体" w:hAnsi="黑体" w:eastAsia="黑体"/>
          <w:sz w:val="44"/>
          <w:szCs w:val="44"/>
        </w:rPr>
        <w:t>名</w:t>
      </w:r>
      <w:r>
        <w:rPr>
          <w:rStyle w:val="29"/>
          <w:rFonts w:hint="eastAsia" w:ascii="黑体" w:hAnsi="黑体" w:eastAsia="黑体"/>
          <w:b w:val="0"/>
        </w:rPr>
        <w:t>词解释</w:t>
      </w:r>
      <w:bookmarkEnd w:id="68"/>
      <w:bookmarkEnd w:id="69"/>
      <w:bookmarkEnd w:id="70"/>
    </w:p>
    <w:p>
      <w:pPr>
        <w:spacing w:line="600" w:lineRule="exact"/>
        <w:jc w:val="left"/>
        <w:rPr>
          <w:rFonts w:ascii="宋体"/>
          <w:b/>
          <w:sz w:val="44"/>
          <w:szCs w:val="44"/>
        </w:rPr>
      </w:pP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numPr>
          <w:ilvl w:val="0"/>
          <w:numId w:val="0"/>
        </w:numPr>
        <w:spacing w:line="600" w:lineRule="exact"/>
        <w:ind w:firstLine="640" w:firstLineChars="200"/>
        <w:jc w:val="left"/>
        <w:outlineLvl w:val="0"/>
        <w:rPr>
          <w:rFonts w:ascii="宋体" w:hAnsi="宋体" w:eastAsia="宋体" w:cs="宋体"/>
          <w:sz w:val="24"/>
          <w:szCs w:val="24"/>
        </w:rPr>
      </w:pPr>
      <w:r>
        <w:rPr>
          <w:rFonts w:hint="eastAsia" w:ascii="仿宋_GB2312" w:hAnsi="仿宋_GB2312" w:cs="仿宋_GB2312"/>
          <w:b w:val="0"/>
          <w:bCs/>
          <w:sz w:val="32"/>
          <w:szCs w:val="32"/>
          <w:lang w:val="en-US" w:eastAsia="zh-CN"/>
        </w:rPr>
        <w:t>5.卫生健康支出</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基层医疗卫生机构</w:t>
      </w:r>
      <w:r>
        <w:rPr>
          <w:rFonts w:hint="default" w:ascii="仿宋_GB2312" w:hAnsi="仿宋_GB2312" w:cs="仿宋_GB2312"/>
          <w:b w:val="0"/>
          <w:bCs/>
          <w:sz w:val="32"/>
          <w:szCs w:val="32"/>
          <w:lang w:val="en-US" w:eastAsia="zh-CN"/>
        </w:rPr>
        <w:t>（款） 其他基层医疗卫生机构支出（项）</w:t>
      </w:r>
      <w:r>
        <w:rPr>
          <w:rFonts w:hint="eastAsia" w:ascii="仿宋_GB2312" w:hAnsi="仿宋_GB2312" w:cs="仿宋_GB2312"/>
          <w:b w:val="0"/>
          <w:bCs/>
          <w:sz w:val="32"/>
          <w:szCs w:val="32"/>
          <w:lang w:val="en-US" w:eastAsia="zh-CN"/>
        </w:rPr>
        <w:t>：</w:t>
      </w:r>
      <w:r>
        <w:rPr>
          <w:rFonts w:hint="eastAsia" w:ascii="仿宋" w:hAnsi="仿宋" w:eastAsia="仿宋" w:cs="仿宋"/>
          <w:sz w:val="32"/>
          <w:szCs w:val="32"/>
        </w:rPr>
        <w:t>反映除上述项目以外的其他用于基层医疗卫生机构的支出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6.卫生健康支出</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公共卫生（款）基本公共卫生服务（项）：指基层医疗机构提供基本公共卫生服务支出</w:t>
      </w:r>
      <w:r>
        <w:rPr>
          <w:rFonts w:hint="default" w:ascii="仿宋_GB2312" w:hAnsi="仿宋_GB2312" w:cs="仿宋_GB2312"/>
          <w:b w:val="0"/>
          <w:bCs/>
          <w:sz w:val="32"/>
          <w:szCs w:val="32"/>
          <w:lang w:val="en-US" w:eastAsia="zh-CN"/>
        </w:rPr>
        <w:t>。</w:t>
      </w:r>
    </w:p>
    <w:p>
      <w:pPr>
        <w:pStyle w:val="9"/>
        <w:numPr>
          <w:ilvl w:val="0"/>
          <w:numId w:val="0"/>
        </w:numPr>
        <w:ind w:firstLine="640" w:firstLineChars="200"/>
        <w:rPr>
          <w:rFonts w:hint="default" w:ascii="仿宋_GB2312" w:hAnsi="仿宋_GB2312" w:cs="仿宋_GB2312"/>
          <w:b w:val="0"/>
          <w:bCs/>
          <w:sz w:val="32"/>
          <w:szCs w:val="32"/>
          <w:highlight w:val="none"/>
          <w:lang w:val="en-US" w:eastAsia="zh-CN"/>
        </w:rPr>
      </w:pPr>
      <w:r>
        <w:rPr>
          <w:rFonts w:hint="eastAsia" w:ascii="仿宋_GB2312" w:hAnsi="仿宋_GB2312" w:cs="仿宋_GB2312"/>
          <w:b w:val="0"/>
          <w:bCs/>
          <w:sz w:val="32"/>
          <w:szCs w:val="32"/>
          <w:highlight w:val="none"/>
          <w:lang w:val="en-US" w:eastAsia="zh-CN"/>
        </w:rPr>
        <w:t>7.卫生健康（类）公共卫生（款）重大公共卫生服务（项）：指重大疾病、重大传染病预防控制等重大公共卫生服务项目支出。</w:t>
      </w:r>
    </w:p>
    <w:p>
      <w:pPr>
        <w:pStyle w:val="9"/>
        <w:numPr>
          <w:ilvl w:val="0"/>
          <w:numId w:val="0"/>
        </w:numPr>
        <w:ind w:firstLine="640" w:firstLineChars="200"/>
        <w:rPr>
          <w:rFonts w:hint="default" w:ascii="仿宋_GB2312" w:hAnsi="仿宋_GB2312" w:cs="仿宋_GB2312"/>
          <w:b w:val="0"/>
          <w:bCs/>
          <w:sz w:val="32"/>
          <w:szCs w:val="32"/>
          <w:highlight w:val="none"/>
          <w:lang w:val="en-US" w:eastAsia="zh-CN"/>
        </w:rPr>
      </w:pPr>
      <w:r>
        <w:rPr>
          <w:rFonts w:hint="eastAsia" w:ascii="仿宋_GB2312" w:hAnsi="仿宋_GB2312" w:cs="仿宋_GB2312"/>
          <w:b w:val="0"/>
          <w:bCs/>
          <w:sz w:val="32"/>
          <w:szCs w:val="32"/>
          <w:highlight w:val="none"/>
          <w:lang w:val="en-US" w:eastAsia="zh-CN"/>
        </w:rPr>
        <w:t>8.农林水支出（类）巩固脱贫衔接乡村振兴（款）社会发展（项）：指农村欠发达地区中小学教育、文化、广播、电视、卫生健康等方面的支出。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9.</w:t>
      </w:r>
      <w:r>
        <w:rPr>
          <w:rFonts w:hint="default" w:ascii="仿宋_GB2312" w:hAnsi="仿宋_GB2312" w:cs="仿宋_GB2312"/>
          <w:b w:val="0"/>
          <w:bCs/>
          <w:sz w:val="32"/>
          <w:szCs w:val="32"/>
          <w:lang w:val="en-US" w:eastAsia="zh-CN"/>
        </w:rPr>
        <w:t>社会保障和就业（类）行政事业单位离退休（款）机关事业单位基本养老保险缴费支出（项）：指部门实施养老保险制度由单位缴纳的养老保险费的支出。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10.</w:t>
      </w:r>
      <w:r>
        <w:rPr>
          <w:rFonts w:hint="default" w:ascii="仿宋_GB2312" w:hAnsi="仿宋_GB2312" w:cs="仿宋_GB2312"/>
          <w:b w:val="0"/>
          <w:bCs/>
          <w:sz w:val="32"/>
          <w:szCs w:val="32"/>
          <w:lang w:val="en-US" w:eastAsia="zh-CN"/>
        </w:rPr>
        <w:t>卫生健康（类）行政事业单位医疗（款）事业单位医疗（项）：指事业单位用于缴纳单位基本医疗保险支出。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11.</w:t>
      </w:r>
      <w:r>
        <w:rPr>
          <w:rFonts w:hint="default" w:ascii="仿宋_GB2312" w:hAnsi="仿宋_GB2312" w:cs="仿宋_GB2312"/>
          <w:b w:val="0"/>
          <w:bCs/>
          <w:sz w:val="32"/>
          <w:szCs w:val="32"/>
          <w:lang w:val="en-US" w:eastAsia="zh-CN"/>
        </w:rPr>
        <w:t>住房保障（类）住房改革支出（款）住房公积金（项）：指按照《住房公积金管理条例》的规定，由单位及其在职职工缴存的长期住房储金。</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12.卫生健康支出</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基层医疗卫生机构</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乡镇卫生院</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：指为保证机构正常运转，完成日常工作任务而发生的人员经费以及日常公用经费。</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13.卫生健康支出（类） 其他卫生健康支出（款）其他卫生健康支出（项）：指用于机构其他卫生健康相关事务支出。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9"/>
          <w:rFonts w:hint="eastAsia" w:ascii="黑体" w:hAnsi="黑体" w:eastAsia="黑体"/>
          <w:b w:val="0"/>
        </w:rPr>
      </w:pPr>
      <w:bookmarkStart w:id="71" w:name="_Toc15377226"/>
      <w:r>
        <w:rPr>
          <w:rFonts w:ascii="宋体"/>
          <w:b/>
          <w:sz w:val="44"/>
          <w:szCs w:val="44"/>
        </w:rPr>
        <w:br w:type="page"/>
      </w:r>
      <w:bookmarkStart w:id="72" w:name="_Toc15396614"/>
      <w:bookmarkStart w:id="73" w:name="_Toc23620"/>
      <w:r>
        <w:rPr>
          <w:rFonts w:hint="eastAsia" w:ascii="黑体" w:hAnsi="黑体" w:eastAsia="黑体"/>
          <w:sz w:val="44"/>
          <w:szCs w:val="44"/>
        </w:rPr>
        <w:t>第</w:t>
      </w:r>
      <w:r>
        <w:rPr>
          <w:rStyle w:val="29"/>
          <w:rFonts w:hint="eastAsia" w:ascii="黑体" w:hAnsi="黑体" w:eastAsia="黑体"/>
          <w:b w:val="0"/>
        </w:rPr>
        <w:t>四部分 附件</w:t>
      </w:r>
      <w:bookmarkEnd w:id="72"/>
      <w:bookmarkEnd w:id="73"/>
    </w:p>
    <w:p>
      <w:pPr>
        <w:pStyle w:val="37"/>
        <w:spacing w:line="578" w:lineRule="exact"/>
        <w:jc w:val="center"/>
        <w:rPr>
          <w:rFonts w:hint="eastAsia" w:ascii="宋体" w:hAnsi="宋体" w:eastAsia="宋体" w:cs="宋体"/>
          <w:color w:val="auto"/>
          <w:kern w:val="2"/>
          <w:sz w:val="44"/>
          <w:szCs w:val="44"/>
          <w:lang w:val="en-US"/>
        </w:rPr>
      </w:pPr>
      <w:r>
        <w:rPr>
          <w:rFonts w:hint="eastAsia" w:ascii="宋体" w:hAnsi="宋体" w:eastAsia="宋体" w:cs="宋体"/>
          <w:color w:val="auto"/>
          <w:kern w:val="2"/>
          <w:sz w:val="44"/>
          <w:szCs w:val="44"/>
          <w:lang w:val="en-US"/>
        </w:rPr>
        <w:t>剑阁县</w:t>
      </w:r>
      <w:r>
        <w:rPr>
          <w:rFonts w:hint="eastAsia" w:ascii="宋体" w:hAnsi="宋体" w:eastAsia="宋体" w:cs="宋体"/>
          <w:color w:val="auto"/>
          <w:kern w:val="2"/>
          <w:sz w:val="44"/>
          <w:szCs w:val="44"/>
          <w:lang w:val="en-US" w:eastAsia="zh-CN"/>
        </w:rPr>
        <w:t>白龙镇</w:t>
      </w:r>
      <w:r>
        <w:rPr>
          <w:rFonts w:hint="eastAsia" w:ascii="宋体" w:hAnsi="宋体" w:eastAsia="宋体" w:cs="宋体"/>
          <w:color w:val="auto"/>
          <w:kern w:val="2"/>
          <w:sz w:val="44"/>
          <w:szCs w:val="44"/>
          <w:lang w:val="en-US"/>
        </w:rPr>
        <w:t>中心卫生院</w:t>
      </w:r>
    </w:p>
    <w:p>
      <w:pPr>
        <w:pStyle w:val="37"/>
        <w:keepNext w:val="0"/>
        <w:keepLines w:val="0"/>
        <w:pageBreakBefore w:val="0"/>
        <w:widowControl w:val="0"/>
        <w:kinsoku/>
        <w:wordWrap/>
        <w:overflowPunct/>
        <w:topLinePunct w:val="0"/>
        <w:autoSpaceDE/>
        <w:autoSpaceDN/>
        <w:bidi w:val="0"/>
        <w:adjustRightInd/>
        <w:snapToGrid/>
        <w:spacing w:after="313" w:afterLines="100" w:line="578" w:lineRule="exact"/>
        <w:jc w:val="center"/>
        <w:textAlignment w:val="auto"/>
        <w:rPr>
          <w:rFonts w:hint="eastAsia" w:ascii="宋体" w:hAnsi="宋体" w:eastAsia="宋体" w:cs="宋体"/>
          <w:color w:val="auto"/>
          <w:kern w:val="2"/>
          <w:sz w:val="44"/>
          <w:szCs w:val="44"/>
          <w:lang w:val="en-US"/>
        </w:rPr>
      </w:pPr>
      <w:r>
        <w:rPr>
          <w:rFonts w:hint="eastAsia" w:ascii="宋体" w:hAnsi="宋体" w:eastAsia="宋体" w:cs="宋体"/>
          <w:color w:val="auto"/>
          <w:kern w:val="2"/>
          <w:sz w:val="44"/>
          <w:szCs w:val="44"/>
          <w:lang w:val="en-US"/>
        </w:rPr>
        <w:t>2022年</w:t>
      </w:r>
      <w:r>
        <w:rPr>
          <w:rFonts w:hint="eastAsia" w:ascii="宋体" w:hAnsi="宋体" w:cs="宋体"/>
          <w:color w:val="auto"/>
          <w:kern w:val="2"/>
          <w:sz w:val="44"/>
          <w:szCs w:val="44"/>
          <w:lang w:val="en-US" w:eastAsia="zh-CN"/>
        </w:rPr>
        <w:t>常态化核酸检测</w:t>
      </w:r>
      <w:r>
        <w:rPr>
          <w:rFonts w:hint="eastAsia" w:ascii="宋体" w:hAnsi="宋体" w:eastAsia="宋体" w:cs="宋体"/>
          <w:color w:val="auto"/>
          <w:kern w:val="2"/>
          <w:sz w:val="44"/>
          <w:szCs w:val="44"/>
          <w:lang w:val="en-US"/>
        </w:rPr>
        <w:t>项目绩效自评报告</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根据相关要求，对照绩效自评内容和方法，我院开展了2022年常态化核酸检测项目资金绩效自评工作，报告如下：</w:t>
      </w:r>
    </w:p>
    <w:p>
      <w:pPr>
        <w:adjustRightInd w:val="0"/>
        <w:snapToGrid w:val="0"/>
        <w:spacing w:line="578" w:lineRule="exact"/>
        <w:ind w:firstLine="640" w:firstLineChars="200"/>
        <w:jc w:val="left"/>
        <w:rPr>
          <w:rFonts w:hint="eastAsia" w:ascii="仿宋" w:hAnsi="仿宋" w:eastAsia="仿宋" w:cs="仿宋"/>
          <w:kern w:val="0"/>
          <w:sz w:val="32"/>
          <w:szCs w:val="32"/>
          <w:shd w:val="clear" w:color="auto" w:fill="FFFFFF"/>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剑阁县</w:t>
      </w:r>
      <w:r>
        <w:rPr>
          <w:rFonts w:hint="eastAsia" w:ascii="仿宋" w:hAnsi="仿宋" w:eastAsia="仿宋" w:cs="仿宋"/>
          <w:sz w:val="32"/>
          <w:szCs w:val="32"/>
          <w:lang w:val="en-US" w:eastAsia="zh-CN"/>
        </w:rPr>
        <w:t>白龙</w:t>
      </w:r>
      <w:r>
        <w:rPr>
          <w:rFonts w:hint="eastAsia" w:ascii="仿宋" w:hAnsi="仿宋" w:eastAsia="仿宋" w:cs="仿宋"/>
          <w:sz w:val="32"/>
          <w:szCs w:val="32"/>
        </w:rPr>
        <w:t>镇中心卫生院2022年开展常态化核酸检测工作项目。重点说明以下内容：</w:t>
      </w:r>
    </w:p>
    <w:p>
      <w:pPr>
        <w:ind w:firstLine="642" w:firstLineChars="200"/>
        <w:jc w:val="left"/>
        <w:rPr>
          <w:rFonts w:hint="eastAsia" w:ascii="仿宋" w:hAnsi="仿宋" w:eastAsia="仿宋" w:cs="仿宋"/>
          <w:sz w:val="32"/>
          <w:szCs w:val="32"/>
        </w:rPr>
      </w:pPr>
      <w:r>
        <w:rPr>
          <w:rFonts w:hint="eastAsia" w:ascii="仿宋" w:hAnsi="仿宋" w:eastAsia="仿宋" w:cs="仿宋"/>
          <w:b/>
          <w:bCs/>
          <w:sz w:val="32"/>
          <w:szCs w:val="32"/>
        </w:rPr>
        <w:t>（一）项目资金申报及批复情况。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项目资金申报严格按照核酸检测人次数来确定资金标准，资金批复按照流程一级上报一级。</w:t>
      </w:r>
    </w:p>
    <w:p>
      <w:pPr>
        <w:ind w:firstLine="642" w:firstLineChars="200"/>
        <w:jc w:val="left"/>
        <w:rPr>
          <w:rFonts w:hint="eastAsia" w:ascii="仿宋" w:hAnsi="仿宋" w:eastAsia="仿宋" w:cs="仿宋"/>
          <w:b/>
          <w:bCs/>
          <w:sz w:val="32"/>
          <w:szCs w:val="32"/>
        </w:rPr>
      </w:pPr>
      <w:r>
        <w:rPr>
          <w:rFonts w:hint="eastAsia" w:ascii="仿宋" w:hAnsi="仿宋" w:eastAsia="仿宋" w:cs="仿宋"/>
          <w:b/>
          <w:sz w:val="32"/>
          <w:szCs w:val="32"/>
        </w:rPr>
        <w:t>（二）</w:t>
      </w:r>
      <w:r>
        <w:rPr>
          <w:rFonts w:hint="eastAsia" w:ascii="仿宋" w:hAnsi="仿宋" w:eastAsia="仿宋" w:cs="仿宋"/>
          <w:b/>
          <w:bCs/>
          <w:sz w:val="32"/>
          <w:szCs w:val="32"/>
        </w:rPr>
        <w:t>项目绩效目标。</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2022年开展常态化核酸检测工作，旨在及时高效完成常态化全员核酸任务，确保人民群众生命健康安全。以2022年开展常态化核酸检测单采及混采检测人数为基准，以一定的补助标准进行资金申报，且任务完成覆盖率达100%，满意度95%。</w:t>
      </w:r>
    </w:p>
    <w:p>
      <w:pPr>
        <w:ind w:firstLine="642" w:firstLineChars="200"/>
        <w:jc w:val="left"/>
        <w:rPr>
          <w:rFonts w:hint="eastAsia" w:ascii="仿宋" w:hAnsi="仿宋" w:eastAsia="仿宋" w:cs="仿宋"/>
          <w:sz w:val="32"/>
          <w:szCs w:val="32"/>
        </w:rPr>
      </w:pPr>
      <w:r>
        <w:rPr>
          <w:rFonts w:hint="eastAsia" w:ascii="仿宋" w:hAnsi="仿宋" w:eastAsia="仿宋" w:cs="仿宋"/>
          <w:b/>
          <w:bCs/>
          <w:sz w:val="32"/>
          <w:szCs w:val="32"/>
        </w:rPr>
        <w:t>（三）项目资金申报相符性。</w:t>
      </w:r>
    </w:p>
    <w:p>
      <w:pPr>
        <w:ind w:left="-290" w:leftChars="-138" w:firstLine="960" w:firstLineChars="300"/>
        <w:jc w:val="left"/>
        <w:rPr>
          <w:rFonts w:hint="eastAsia" w:ascii="仿宋" w:hAnsi="仿宋" w:eastAsia="仿宋" w:cs="仿宋"/>
          <w:sz w:val="32"/>
          <w:szCs w:val="32"/>
        </w:rPr>
      </w:pPr>
      <w:r>
        <w:rPr>
          <w:rFonts w:hint="eastAsia" w:ascii="仿宋" w:hAnsi="仿宋" w:eastAsia="仿宋" w:cs="仿宋"/>
          <w:bCs/>
          <w:sz w:val="32"/>
          <w:szCs w:val="32"/>
          <w:lang w:val="zh-CN"/>
        </w:rPr>
        <w:t>资金申报</w:t>
      </w:r>
      <w:r>
        <w:rPr>
          <w:rFonts w:hint="eastAsia" w:ascii="仿宋" w:hAnsi="仿宋" w:eastAsia="仿宋" w:cs="仿宋"/>
          <w:bCs/>
          <w:sz w:val="32"/>
          <w:szCs w:val="32"/>
        </w:rPr>
        <w:t>资料真实合理；申报资金与核酸检测人次数相关联</w:t>
      </w:r>
      <w:r>
        <w:rPr>
          <w:rFonts w:hint="eastAsia" w:ascii="仿宋" w:hAnsi="仿宋" w:eastAsia="仿宋" w:cs="仿宋"/>
          <w:sz w:val="32"/>
          <w:szCs w:val="32"/>
        </w:rPr>
        <w:t>。</w:t>
      </w:r>
    </w:p>
    <w:p>
      <w:pPr>
        <w:adjustRightInd w:val="0"/>
        <w:snapToGrid w:val="0"/>
        <w:spacing w:line="578"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二、项目实施及管理情况</w:t>
      </w:r>
    </w:p>
    <w:p>
      <w:pPr>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（一）资金计划、到位及使用情况。</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1．资金计划及到位。2022年财政下达常态化核酸检测项目资金</w:t>
      </w:r>
      <w:r>
        <w:rPr>
          <w:rFonts w:hint="eastAsia" w:ascii="仿宋" w:hAnsi="仿宋" w:eastAsia="仿宋" w:cs="仿宋"/>
          <w:sz w:val="32"/>
          <w:szCs w:val="32"/>
          <w:lang w:val="en-US" w:eastAsia="zh-CN"/>
        </w:rPr>
        <w:t>23.9</w:t>
      </w:r>
      <w:r>
        <w:rPr>
          <w:rFonts w:hint="eastAsia" w:ascii="仿宋" w:hAnsi="仿宋" w:eastAsia="仿宋" w:cs="仿宋"/>
          <w:sz w:val="32"/>
          <w:szCs w:val="32"/>
        </w:rPr>
        <w:t>万元，于2022年12月31日前</w:t>
      </w:r>
      <w:r>
        <w:rPr>
          <w:rFonts w:hint="eastAsia" w:ascii="仿宋" w:hAnsi="仿宋" w:eastAsia="仿宋" w:cs="仿宋"/>
          <w:sz w:val="32"/>
          <w:szCs w:val="32"/>
          <w:lang w:val="en-US" w:eastAsia="zh-CN"/>
        </w:rPr>
        <w:t>全部到位。</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2．资金使用。</w:t>
      </w:r>
      <w:r>
        <w:rPr>
          <w:rFonts w:hint="eastAsia" w:ascii="仿宋" w:hAnsi="仿宋" w:eastAsia="仿宋" w:cs="仿宋"/>
          <w:sz w:val="32"/>
          <w:szCs w:val="32"/>
          <w:lang w:val="en-US" w:eastAsia="zh-CN"/>
        </w:rPr>
        <w:t>截止2022年12月31日，</w:t>
      </w:r>
      <w:r>
        <w:rPr>
          <w:rFonts w:hint="eastAsia" w:ascii="仿宋" w:hAnsi="仿宋" w:eastAsia="仿宋" w:cs="仿宋"/>
          <w:sz w:val="32"/>
          <w:szCs w:val="32"/>
        </w:rPr>
        <w:t>财政</w:t>
      </w:r>
      <w:r>
        <w:rPr>
          <w:rFonts w:hint="eastAsia" w:ascii="仿宋" w:hAnsi="仿宋" w:eastAsia="仿宋" w:cs="仿宋"/>
          <w:sz w:val="32"/>
          <w:szCs w:val="32"/>
          <w:lang w:val="en-US" w:eastAsia="zh-CN"/>
        </w:rPr>
        <w:t>审</w:t>
      </w:r>
      <w:r>
        <w:rPr>
          <w:rFonts w:hint="eastAsia" w:ascii="仿宋" w:hAnsi="仿宋" w:eastAsia="仿宋" w:cs="仿宋"/>
          <w:sz w:val="32"/>
          <w:szCs w:val="32"/>
        </w:rPr>
        <w:t>核</w:t>
      </w:r>
      <w:r>
        <w:rPr>
          <w:rFonts w:hint="eastAsia" w:ascii="仿宋" w:hAnsi="仿宋" w:eastAsia="仿宋" w:cs="仿宋"/>
          <w:sz w:val="32"/>
          <w:szCs w:val="32"/>
          <w:lang w:val="zh-CN"/>
        </w:rPr>
        <w:t>资金</w:t>
      </w:r>
      <w:r>
        <w:rPr>
          <w:rFonts w:hint="eastAsia" w:ascii="仿宋" w:hAnsi="仿宋" w:eastAsia="仿宋" w:cs="仿宋"/>
          <w:sz w:val="32"/>
          <w:szCs w:val="32"/>
          <w:lang w:val="en-US" w:eastAsia="zh-CN"/>
        </w:rPr>
        <w:t>及时执行，资金执行</w:t>
      </w:r>
      <w:r>
        <w:rPr>
          <w:rFonts w:hint="eastAsia" w:ascii="仿宋" w:hAnsi="仿宋" w:eastAsia="仿宋" w:cs="仿宋"/>
          <w:sz w:val="32"/>
          <w:szCs w:val="32"/>
          <w:lang w:val="zh-CN"/>
        </w:rPr>
        <w:t>率100%,支付合规合法，资金支付与预</w:t>
      </w:r>
      <w:r>
        <w:rPr>
          <w:rFonts w:hint="eastAsia" w:ascii="仿宋" w:hAnsi="仿宋" w:eastAsia="仿宋" w:cs="仿宋"/>
          <w:sz w:val="32"/>
          <w:szCs w:val="32"/>
          <w:lang w:val="en-US" w:eastAsia="zh-CN"/>
        </w:rPr>
        <w:t>决</w:t>
      </w:r>
      <w:r>
        <w:rPr>
          <w:rFonts w:hint="eastAsia" w:ascii="仿宋" w:hAnsi="仿宋" w:eastAsia="仿宋" w:cs="仿宋"/>
          <w:sz w:val="32"/>
          <w:szCs w:val="32"/>
          <w:lang w:val="zh-CN"/>
        </w:rPr>
        <w:t>算相符。</w:t>
      </w:r>
    </w:p>
    <w:p>
      <w:pPr>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（二）项目财务管理情况。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严格执行政府财务管理制度、财务处理及时、会计核算规范</w:t>
      </w:r>
      <w:r>
        <w:rPr>
          <w:rFonts w:hint="eastAsia" w:ascii="仿宋" w:hAnsi="仿宋" w:eastAsia="仿宋" w:cs="仿宋"/>
          <w:sz w:val="32"/>
          <w:szCs w:val="32"/>
        </w:rPr>
        <w:t>。</w:t>
      </w:r>
    </w:p>
    <w:p>
      <w:pPr>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（三）项目组织实施情况。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rPr>
        <w:t>我</w:t>
      </w:r>
      <w:r>
        <w:rPr>
          <w:rFonts w:hint="eastAsia" w:ascii="仿宋" w:hAnsi="仿宋" w:eastAsia="仿宋" w:cs="仿宋"/>
          <w:i w:val="0"/>
          <w:iCs w:val="0"/>
          <w:caps w:val="0"/>
          <w:color w:val="333333"/>
          <w:spacing w:val="0"/>
          <w:sz w:val="32"/>
          <w:szCs w:val="32"/>
          <w:shd w:val="clear" w:color="auto" w:fill="FFFFFF"/>
          <w:lang w:eastAsia="zh-CN"/>
        </w:rPr>
        <w:t>院</w:t>
      </w:r>
      <w:r>
        <w:rPr>
          <w:rFonts w:hint="eastAsia" w:ascii="仿宋" w:hAnsi="仿宋" w:eastAsia="仿宋" w:cs="仿宋"/>
          <w:i w:val="0"/>
          <w:iCs w:val="0"/>
          <w:caps w:val="0"/>
          <w:color w:val="333333"/>
          <w:spacing w:val="0"/>
          <w:sz w:val="32"/>
          <w:szCs w:val="32"/>
          <w:shd w:val="clear" w:color="auto" w:fill="FFFFFF"/>
        </w:rPr>
        <w:t>对</w:t>
      </w:r>
      <w:r>
        <w:rPr>
          <w:rFonts w:hint="eastAsia" w:ascii="仿宋" w:hAnsi="仿宋" w:eastAsia="仿宋" w:cs="仿宋"/>
          <w:i w:val="0"/>
          <w:iCs w:val="0"/>
          <w:caps w:val="0"/>
          <w:color w:val="333333"/>
          <w:spacing w:val="0"/>
          <w:sz w:val="32"/>
          <w:szCs w:val="32"/>
          <w:shd w:val="clear" w:color="auto" w:fill="FFFFFF"/>
          <w:lang w:val="en-US" w:eastAsia="zh-CN"/>
        </w:rPr>
        <w:t>常态化核酸检测</w:t>
      </w:r>
      <w:r>
        <w:rPr>
          <w:rFonts w:hint="eastAsia" w:ascii="仿宋" w:hAnsi="仿宋" w:eastAsia="仿宋" w:cs="仿宋"/>
          <w:i w:val="0"/>
          <w:iCs w:val="0"/>
          <w:caps w:val="0"/>
          <w:color w:val="333333"/>
          <w:spacing w:val="0"/>
          <w:sz w:val="32"/>
          <w:szCs w:val="32"/>
          <w:shd w:val="clear" w:color="auto" w:fill="FFFFFF"/>
        </w:rPr>
        <w:t>项目非常重视，成立了由</w:t>
      </w:r>
      <w:r>
        <w:rPr>
          <w:rFonts w:hint="eastAsia" w:ascii="仿宋" w:hAnsi="仿宋" w:eastAsia="仿宋" w:cs="仿宋"/>
          <w:i w:val="0"/>
          <w:iCs w:val="0"/>
          <w:caps w:val="0"/>
          <w:color w:val="333333"/>
          <w:spacing w:val="0"/>
          <w:sz w:val="32"/>
          <w:szCs w:val="32"/>
          <w:shd w:val="clear" w:color="auto" w:fill="FFFFFF"/>
          <w:lang w:eastAsia="zh-CN"/>
        </w:rPr>
        <w:t>院长</w:t>
      </w:r>
      <w:r>
        <w:rPr>
          <w:rFonts w:hint="eastAsia" w:ascii="仿宋" w:hAnsi="仿宋" w:eastAsia="仿宋" w:cs="仿宋"/>
          <w:i w:val="0"/>
          <w:iCs w:val="0"/>
          <w:caps w:val="0"/>
          <w:color w:val="333333"/>
          <w:spacing w:val="0"/>
          <w:sz w:val="32"/>
          <w:szCs w:val="32"/>
          <w:shd w:val="clear" w:color="auto" w:fill="FFFFFF"/>
        </w:rPr>
        <w:t>为组长，分管</w:t>
      </w:r>
      <w:r>
        <w:rPr>
          <w:rFonts w:hint="eastAsia" w:ascii="仿宋" w:hAnsi="仿宋" w:eastAsia="仿宋" w:cs="仿宋"/>
          <w:i w:val="0"/>
          <w:iCs w:val="0"/>
          <w:caps w:val="0"/>
          <w:color w:val="333333"/>
          <w:spacing w:val="0"/>
          <w:sz w:val="32"/>
          <w:szCs w:val="32"/>
          <w:shd w:val="clear" w:color="auto" w:fill="FFFFFF"/>
          <w:lang w:eastAsia="zh-CN"/>
        </w:rPr>
        <w:t>副院长</w:t>
      </w:r>
      <w:r>
        <w:rPr>
          <w:rFonts w:hint="eastAsia" w:ascii="仿宋" w:hAnsi="仿宋" w:eastAsia="仿宋" w:cs="仿宋"/>
          <w:i w:val="0"/>
          <w:iCs w:val="0"/>
          <w:caps w:val="0"/>
          <w:color w:val="333333"/>
          <w:spacing w:val="0"/>
          <w:sz w:val="32"/>
          <w:szCs w:val="32"/>
          <w:shd w:val="clear" w:color="auto" w:fill="FFFFFF"/>
        </w:rPr>
        <w:t>为副组长，</w:t>
      </w:r>
      <w:r>
        <w:rPr>
          <w:rFonts w:hint="eastAsia" w:ascii="仿宋" w:hAnsi="仿宋" w:eastAsia="仿宋" w:cs="仿宋"/>
          <w:i w:val="0"/>
          <w:iCs w:val="0"/>
          <w:caps w:val="0"/>
          <w:color w:val="333333"/>
          <w:spacing w:val="0"/>
          <w:sz w:val="32"/>
          <w:szCs w:val="32"/>
          <w:shd w:val="clear" w:color="auto" w:fill="FFFFFF"/>
          <w:lang w:val="en-US" w:eastAsia="zh-CN"/>
        </w:rPr>
        <w:t>全员职工</w:t>
      </w:r>
      <w:r>
        <w:rPr>
          <w:rFonts w:hint="eastAsia" w:ascii="仿宋" w:hAnsi="仿宋" w:eastAsia="仿宋" w:cs="仿宋"/>
          <w:i w:val="0"/>
          <w:iCs w:val="0"/>
          <w:caps w:val="0"/>
          <w:color w:val="333333"/>
          <w:spacing w:val="0"/>
          <w:sz w:val="32"/>
          <w:szCs w:val="32"/>
          <w:shd w:val="clear" w:color="auto" w:fill="FFFFFF"/>
        </w:rPr>
        <w:t>为成员，</w:t>
      </w:r>
      <w:r>
        <w:rPr>
          <w:rFonts w:hint="eastAsia" w:ascii="仿宋" w:hAnsi="仿宋" w:eastAsia="仿宋" w:cs="仿宋"/>
          <w:i w:val="0"/>
          <w:iCs w:val="0"/>
          <w:caps w:val="0"/>
          <w:color w:val="333333"/>
          <w:spacing w:val="0"/>
          <w:sz w:val="32"/>
          <w:szCs w:val="32"/>
          <w:shd w:val="clear" w:color="auto" w:fill="FFFFFF"/>
          <w:lang w:val="en-US" w:eastAsia="zh-CN"/>
        </w:rPr>
        <w:t>办公室</w:t>
      </w:r>
      <w:r>
        <w:rPr>
          <w:rFonts w:hint="eastAsia" w:ascii="仿宋" w:hAnsi="仿宋" w:eastAsia="仿宋" w:cs="仿宋"/>
          <w:i w:val="0"/>
          <w:iCs w:val="0"/>
          <w:caps w:val="0"/>
          <w:color w:val="auto"/>
          <w:spacing w:val="0"/>
          <w:sz w:val="32"/>
          <w:szCs w:val="32"/>
          <w:shd w:val="clear" w:color="auto" w:fill="FFFFFF"/>
        </w:rPr>
        <w:t>具体负责开展此项工作。为加强我</w:t>
      </w:r>
      <w:r>
        <w:rPr>
          <w:rFonts w:hint="eastAsia" w:ascii="仿宋" w:hAnsi="仿宋" w:eastAsia="仿宋" w:cs="仿宋"/>
          <w:i w:val="0"/>
          <w:iCs w:val="0"/>
          <w:caps w:val="0"/>
          <w:color w:val="auto"/>
          <w:spacing w:val="0"/>
          <w:sz w:val="32"/>
          <w:szCs w:val="32"/>
          <w:shd w:val="clear" w:color="auto" w:fill="FFFFFF"/>
          <w:lang w:eastAsia="zh-CN"/>
        </w:rPr>
        <w:t>院</w:t>
      </w:r>
      <w:r>
        <w:rPr>
          <w:rFonts w:hint="eastAsia" w:ascii="仿宋" w:hAnsi="仿宋" w:eastAsia="仿宋" w:cs="仿宋"/>
          <w:i w:val="0"/>
          <w:iCs w:val="0"/>
          <w:caps w:val="0"/>
          <w:color w:val="auto"/>
          <w:spacing w:val="0"/>
          <w:sz w:val="32"/>
          <w:szCs w:val="32"/>
          <w:shd w:val="clear" w:color="auto" w:fill="FFFFFF"/>
        </w:rPr>
        <w:t>实施</w:t>
      </w:r>
      <w:r>
        <w:rPr>
          <w:rFonts w:hint="eastAsia" w:ascii="仿宋" w:hAnsi="仿宋" w:eastAsia="仿宋" w:cs="仿宋"/>
          <w:i w:val="0"/>
          <w:iCs w:val="0"/>
          <w:caps w:val="0"/>
          <w:color w:val="auto"/>
          <w:spacing w:val="0"/>
          <w:sz w:val="32"/>
          <w:szCs w:val="32"/>
          <w:shd w:val="clear" w:color="auto" w:fill="FFFFFF"/>
          <w:lang w:val="en-US" w:eastAsia="zh-CN"/>
        </w:rPr>
        <w:t>常态化核酸检测项目</w:t>
      </w:r>
      <w:r>
        <w:rPr>
          <w:rFonts w:hint="eastAsia" w:ascii="仿宋" w:hAnsi="仿宋" w:eastAsia="仿宋" w:cs="仿宋"/>
          <w:i w:val="0"/>
          <w:iCs w:val="0"/>
          <w:caps w:val="0"/>
          <w:color w:val="333333"/>
          <w:spacing w:val="0"/>
          <w:sz w:val="32"/>
          <w:szCs w:val="32"/>
          <w:shd w:val="clear" w:color="auto" w:fill="FFFFFF"/>
        </w:rPr>
        <w:t>绩效考核工作，提高</w:t>
      </w:r>
      <w:r>
        <w:rPr>
          <w:rFonts w:hint="eastAsia" w:ascii="仿宋" w:hAnsi="仿宋" w:eastAsia="仿宋" w:cs="仿宋"/>
          <w:i w:val="0"/>
          <w:iCs w:val="0"/>
          <w:caps w:val="0"/>
          <w:color w:val="333333"/>
          <w:spacing w:val="0"/>
          <w:sz w:val="32"/>
          <w:szCs w:val="32"/>
          <w:shd w:val="clear" w:color="auto" w:fill="FFFFFF"/>
          <w:lang w:val="en-US" w:eastAsia="zh-CN"/>
        </w:rPr>
        <w:t>常态化核酸检测项目</w:t>
      </w:r>
      <w:r>
        <w:rPr>
          <w:rFonts w:hint="eastAsia" w:ascii="仿宋" w:hAnsi="仿宋" w:eastAsia="仿宋" w:cs="仿宋"/>
          <w:i w:val="0"/>
          <w:iCs w:val="0"/>
          <w:caps w:val="0"/>
          <w:color w:val="333333"/>
          <w:spacing w:val="0"/>
          <w:sz w:val="32"/>
          <w:szCs w:val="32"/>
          <w:shd w:val="clear" w:color="auto" w:fill="FFFFFF"/>
        </w:rPr>
        <w:t>经费使用效率，</w:t>
      </w:r>
      <w:r>
        <w:rPr>
          <w:rFonts w:hint="eastAsia" w:ascii="仿宋" w:hAnsi="仿宋" w:eastAsia="仿宋" w:cs="仿宋"/>
          <w:i w:val="0"/>
          <w:iCs w:val="0"/>
          <w:caps w:val="0"/>
          <w:color w:val="333333"/>
          <w:spacing w:val="0"/>
          <w:sz w:val="32"/>
          <w:szCs w:val="32"/>
          <w:shd w:val="clear" w:color="auto" w:fill="FFFFFF"/>
          <w:lang w:val="en-US" w:eastAsia="zh-CN"/>
        </w:rPr>
        <w:t>及时建立台账，</w:t>
      </w:r>
      <w:r>
        <w:rPr>
          <w:rFonts w:hint="eastAsia" w:ascii="仿宋" w:hAnsi="仿宋" w:eastAsia="仿宋" w:cs="仿宋"/>
          <w:i w:val="0"/>
          <w:iCs w:val="0"/>
          <w:caps w:val="0"/>
          <w:color w:val="333333"/>
          <w:spacing w:val="0"/>
          <w:sz w:val="32"/>
          <w:szCs w:val="32"/>
          <w:shd w:val="clear" w:color="auto" w:fill="FFFFFF"/>
        </w:rPr>
        <w:t>落实日常监督管理</w:t>
      </w:r>
      <w:r>
        <w:rPr>
          <w:rFonts w:hint="eastAsia" w:ascii="仿宋" w:hAnsi="仿宋" w:eastAsia="仿宋" w:cs="仿宋"/>
          <w:i w:val="0"/>
          <w:iCs w:val="0"/>
          <w:caps w:val="0"/>
          <w:color w:val="333333"/>
          <w:spacing w:val="0"/>
          <w:sz w:val="32"/>
          <w:szCs w:val="32"/>
          <w:shd w:val="clear" w:color="auto" w:fill="FFFFFF"/>
          <w:lang w:eastAsia="zh-CN"/>
        </w:rPr>
        <w:t>，</w:t>
      </w:r>
      <w:r>
        <w:rPr>
          <w:rFonts w:hint="eastAsia" w:ascii="仿宋" w:hAnsi="仿宋" w:eastAsia="仿宋" w:cs="仿宋"/>
          <w:i w:val="0"/>
          <w:iCs w:val="0"/>
          <w:caps w:val="0"/>
          <w:color w:val="333333"/>
          <w:spacing w:val="0"/>
          <w:sz w:val="32"/>
          <w:szCs w:val="32"/>
          <w:shd w:val="clear" w:color="auto" w:fill="FFFFFF"/>
          <w:lang w:val="en-US" w:eastAsia="zh-CN"/>
        </w:rPr>
        <w:t>严格资金用途，专款专用。</w:t>
      </w:r>
    </w:p>
    <w:p>
      <w:pPr>
        <w:adjustRightInd w:val="0"/>
        <w:snapToGrid w:val="0"/>
        <w:spacing w:line="578"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三、项目绩效情况</w:t>
      </w:r>
    </w:p>
    <w:p>
      <w:pPr>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（一）项目完成情况。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剑阁县</w:t>
      </w:r>
      <w:r>
        <w:rPr>
          <w:rFonts w:hint="eastAsia" w:ascii="仿宋" w:hAnsi="仿宋" w:eastAsia="仿宋" w:cs="仿宋"/>
          <w:sz w:val="32"/>
          <w:szCs w:val="32"/>
          <w:lang w:val="en-US" w:eastAsia="zh-CN"/>
        </w:rPr>
        <w:t>白龙</w:t>
      </w:r>
      <w:r>
        <w:rPr>
          <w:rFonts w:hint="eastAsia" w:ascii="仿宋" w:hAnsi="仿宋" w:eastAsia="仿宋" w:cs="仿宋"/>
          <w:sz w:val="32"/>
          <w:szCs w:val="32"/>
        </w:rPr>
        <w:t>镇中心卫生院2022年常态化核酸检测</w:t>
      </w:r>
      <w:r>
        <w:rPr>
          <w:rFonts w:hint="eastAsia" w:ascii="仿宋" w:hAnsi="仿宋" w:eastAsia="仿宋" w:cs="仿宋"/>
          <w:sz w:val="32"/>
          <w:szCs w:val="32"/>
          <w:lang w:val="en-US" w:eastAsia="zh-CN"/>
        </w:rPr>
        <w:t>23.9</w:t>
      </w:r>
      <w:r>
        <w:rPr>
          <w:rFonts w:hint="eastAsia" w:ascii="仿宋" w:hAnsi="仿宋" w:eastAsia="仿宋" w:cs="仿宋"/>
          <w:sz w:val="32"/>
          <w:szCs w:val="32"/>
        </w:rPr>
        <w:t>万元，于2022年12月31日前执行完成，下达资金全部用于2022年开展常态化核酸检测工作中；以单采、混采检测人次数为标准，</w:t>
      </w:r>
      <w:r>
        <w:rPr>
          <w:rFonts w:hint="eastAsia" w:ascii="仿宋" w:hAnsi="仿宋" w:eastAsia="仿宋" w:cs="仿宋"/>
          <w:sz w:val="32"/>
          <w:szCs w:val="32"/>
          <w:lang w:val="en-US" w:eastAsia="zh-CN"/>
        </w:rPr>
        <w:t>及时</w:t>
      </w:r>
      <w:r>
        <w:rPr>
          <w:rFonts w:hint="eastAsia" w:ascii="仿宋" w:hAnsi="仿宋" w:eastAsia="仿宋" w:cs="仿宋"/>
          <w:sz w:val="32"/>
          <w:szCs w:val="32"/>
        </w:rPr>
        <w:t>完成此项工作， 质量上任务完成覆盖率100%，核酸检测覆盖率100%，满意度达95%。</w:t>
      </w:r>
    </w:p>
    <w:p>
      <w:pPr>
        <w:ind w:firstLine="642" w:firstLineChars="200"/>
        <w:jc w:val="left"/>
        <w:rPr>
          <w:rFonts w:hint="eastAsia" w:ascii="仿宋" w:hAnsi="仿宋" w:eastAsia="仿宋" w:cs="仿宋"/>
          <w:sz w:val="32"/>
          <w:szCs w:val="32"/>
        </w:rPr>
      </w:pPr>
      <w:r>
        <w:rPr>
          <w:rFonts w:hint="eastAsia" w:ascii="仿宋" w:hAnsi="仿宋" w:eastAsia="仿宋" w:cs="仿宋"/>
          <w:b/>
          <w:bCs/>
          <w:sz w:val="32"/>
          <w:szCs w:val="32"/>
        </w:rPr>
        <w:t>（二）项目效益情况。</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常态化核酸检测资金保障了疫情防控工作开展，及时鉴别新冠肺炎和普通肺炎，有效遏制疫情发展，保护了全镇居民的生命健康安全。</w:t>
      </w:r>
    </w:p>
    <w:p>
      <w:pPr>
        <w:ind w:firstLine="640" w:firstLineChars="200"/>
        <w:jc w:val="left"/>
        <w:rPr>
          <w:rFonts w:hint="eastAsia" w:ascii="仿宋" w:hAnsi="仿宋" w:eastAsia="仿宋" w:cs="仿宋"/>
          <w:b/>
          <w:bCs/>
          <w:sz w:val="32"/>
          <w:szCs w:val="32"/>
        </w:rPr>
      </w:pPr>
      <w:r>
        <w:rPr>
          <w:rFonts w:hint="eastAsia" w:ascii="仿宋" w:hAnsi="仿宋" w:eastAsia="仿宋" w:cs="仿宋"/>
          <w:sz w:val="32"/>
          <w:szCs w:val="32"/>
        </w:rPr>
        <w:t>四、问题及建议</w:t>
      </w:r>
    </w:p>
    <w:p>
      <w:pPr>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（一）存在的问题。</w:t>
      </w:r>
    </w:p>
    <w:p>
      <w:pPr>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无。</w:t>
      </w:r>
    </w:p>
    <w:p>
      <w:pPr>
        <w:ind w:firstLine="642" w:firstLineChars="200"/>
        <w:jc w:val="left"/>
        <w:rPr>
          <w:rFonts w:hint="eastAsia" w:ascii="仿宋" w:hAnsi="仿宋" w:eastAsia="仿宋" w:cs="仿宋"/>
          <w:sz w:val="32"/>
          <w:szCs w:val="32"/>
        </w:rPr>
      </w:pPr>
      <w:r>
        <w:rPr>
          <w:rFonts w:hint="eastAsia" w:ascii="仿宋" w:hAnsi="仿宋" w:eastAsia="仿宋" w:cs="仿宋"/>
          <w:b/>
          <w:bCs/>
          <w:sz w:val="32"/>
          <w:szCs w:val="32"/>
        </w:rPr>
        <w:t>（二）相关建议。</w:t>
      </w:r>
    </w:p>
    <w:p>
      <w:pPr>
        <w:spacing w:line="4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无。</w:t>
      </w:r>
    </w:p>
    <w:p>
      <w:pPr>
        <w:pStyle w:val="16"/>
      </w:pPr>
    </w:p>
    <w:p>
      <w:pPr>
        <w:pStyle w:val="37"/>
        <w:spacing w:line="578" w:lineRule="exact"/>
        <w:jc w:val="center"/>
        <w:rPr>
          <w:rFonts w:hint="eastAsia" w:asciiTheme="majorEastAsia" w:hAnsiTheme="majorEastAsia" w:eastAsiaTheme="majorEastAsia" w:cstheme="majorEastAsia"/>
          <w:color w:val="auto"/>
          <w:kern w:val="2"/>
          <w:sz w:val="44"/>
          <w:szCs w:val="44"/>
          <w:lang w:val="en-US"/>
        </w:rPr>
      </w:pPr>
      <w:r>
        <w:rPr>
          <w:rFonts w:hint="eastAsia" w:asciiTheme="majorEastAsia" w:hAnsiTheme="majorEastAsia" w:eastAsiaTheme="majorEastAsia" w:cstheme="majorEastAsia"/>
          <w:color w:val="auto"/>
          <w:kern w:val="2"/>
          <w:sz w:val="44"/>
          <w:szCs w:val="44"/>
          <w:lang w:val="en-US"/>
        </w:rPr>
        <w:t>剑阁县</w:t>
      </w:r>
      <w:r>
        <w:rPr>
          <w:rFonts w:hint="eastAsia" w:asciiTheme="majorEastAsia" w:hAnsiTheme="majorEastAsia" w:eastAsiaTheme="majorEastAsia" w:cstheme="majorEastAsia"/>
          <w:color w:val="auto"/>
          <w:kern w:val="2"/>
          <w:sz w:val="44"/>
          <w:szCs w:val="44"/>
          <w:lang w:val="en-US" w:eastAsia="zh-CN"/>
        </w:rPr>
        <w:t>白龙</w:t>
      </w:r>
      <w:r>
        <w:rPr>
          <w:rFonts w:hint="eastAsia" w:asciiTheme="majorEastAsia" w:hAnsiTheme="majorEastAsia" w:eastAsiaTheme="majorEastAsia" w:cstheme="majorEastAsia"/>
          <w:color w:val="auto"/>
          <w:kern w:val="2"/>
          <w:sz w:val="44"/>
          <w:szCs w:val="44"/>
          <w:lang w:val="en-US"/>
        </w:rPr>
        <w:t>镇中心卫生院</w:t>
      </w:r>
    </w:p>
    <w:p>
      <w:pPr>
        <w:pStyle w:val="37"/>
        <w:spacing w:line="578" w:lineRule="exact"/>
        <w:jc w:val="center"/>
        <w:rPr>
          <w:rFonts w:hint="eastAsia" w:asciiTheme="majorEastAsia" w:hAnsiTheme="majorEastAsia" w:eastAsiaTheme="majorEastAsia" w:cstheme="majorEastAsia"/>
          <w:color w:val="auto"/>
          <w:kern w:val="2"/>
          <w:sz w:val="44"/>
          <w:szCs w:val="44"/>
          <w:lang w:val="en-US"/>
        </w:rPr>
      </w:pPr>
      <w:r>
        <w:rPr>
          <w:rFonts w:hint="eastAsia" w:asciiTheme="majorEastAsia" w:hAnsiTheme="majorEastAsia" w:eastAsiaTheme="majorEastAsia" w:cstheme="majorEastAsia"/>
          <w:color w:val="auto"/>
          <w:kern w:val="2"/>
          <w:sz w:val="44"/>
          <w:szCs w:val="44"/>
          <w:lang w:val="en-US"/>
        </w:rPr>
        <w:t>2022年</w:t>
      </w:r>
      <w:r>
        <w:rPr>
          <w:rFonts w:hint="eastAsia" w:asciiTheme="majorEastAsia" w:hAnsiTheme="majorEastAsia" w:eastAsiaTheme="majorEastAsia" w:cstheme="majorEastAsia"/>
          <w:color w:val="auto"/>
          <w:kern w:val="2"/>
          <w:sz w:val="44"/>
          <w:szCs w:val="44"/>
          <w:lang w:val="en-US" w:eastAsia="zh-CN"/>
        </w:rPr>
        <w:t>院对院结对</w:t>
      </w:r>
      <w:r>
        <w:rPr>
          <w:rFonts w:hint="eastAsia" w:asciiTheme="majorEastAsia" w:hAnsiTheme="majorEastAsia" w:eastAsiaTheme="majorEastAsia" w:cstheme="majorEastAsia"/>
          <w:color w:val="auto"/>
          <w:kern w:val="2"/>
          <w:sz w:val="44"/>
          <w:szCs w:val="44"/>
          <w:lang w:val="en-US"/>
        </w:rPr>
        <w:t>项目绩效自评报告</w:t>
      </w:r>
    </w:p>
    <w:p>
      <w:pPr>
        <w:pStyle w:val="37"/>
        <w:spacing w:line="578" w:lineRule="exact"/>
        <w:ind w:firstLine="640"/>
        <w:jc w:val="center"/>
        <w:rPr>
          <w:rFonts w:ascii="宋体" w:hAnsi="宋体"/>
          <w:color w:val="auto"/>
          <w:kern w:val="2"/>
          <w:sz w:val="32"/>
          <w:szCs w:val="32"/>
        </w:rPr>
      </w:pP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根据相关要求，对照绩效自评内容和方法，我院开展了2022年院对院结对项目资金绩效自评工作。</w:t>
      </w:r>
    </w:p>
    <w:p>
      <w:pPr>
        <w:adjustRightInd w:val="0"/>
        <w:snapToGrid w:val="0"/>
        <w:spacing w:line="578" w:lineRule="exact"/>
        <w:ind w:firstLine="640" w:firstLineChars="200"/>
        <w:jc w:val="left"/>
        <w:rPr>
          <w:rFonts w:hint="eastAsia" w:ascii="仿宋" w:hAnsi="仿宋" w:eastAsia="仿宋" w:cs="仿宋"/>
          <w:kern w:val="0"/>
          <w:sz w:val="32"/>
          <w:szCs w:val="32"/>
          <w:shd w:val="clear" w:color="auto" w:fill="FFFFFF"/>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“院对院”结对帮扶，提升基层医疗卫生机构服务能力。重点说明以下内容：</w:t>
      </w:r>
    </w:p>
    <w:p>
      <w:pPr>
        <w:ind w:firstLine="642" w:firstLineChars="200"/>
        <w:jc w:val="left"/>
        <w:rPr>
          <w:rFonts w:hint="eastAsia" w:ascii="仿宋" w:hAnsi="仿宋" w:eastAsia="仿宋" w:cs="仿宋"/>
          <w:sz w:val="32"/>
          <w:szCs w:val="32"/>
        </w:rPr>
      </w:pPr>
      <w:r>
        <w:rPr>
          <w:rFonts w:hint="eastAsia" w:ascii="仿宋" w:hAnsi="仿宋" w:eastAsia="仿宋" w:cs="仿宋"/>
          <w:b/>
          <w:bCs/>
          <w:sz w:val="32"/>
          <w:szCs w:val="32"/>
        </w:rPr>
        <w:t>（一）项目资金申报及批复情况。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项目资金申报严格按照上级要求来确定资金标准，资金批复按照流程一级上报一级。</w:t>
      </w:r>
    </w:p>
    <w:p>
      <w:pPr>
        <w:ind w:firstLine="642" w:firstLineChars="200"/>
        <w:jc w:val="left"/>
        <w:rPr>
          <w:rFonts w:hint="eastAsia" w:ascii="仿宋" w:hAnsi="仿宋" w:eastAsia="仿宋" w:cs="仿宋"/>
          <w:b/>
          <w:bCs/>
          <w:sz w:val="32"/>
          <w:szCs w:val="32"/>
        </w:rPr>
      </w:pPr>
      <w:r>
        <w:rPr>
          <w:rFonts w:hint="eastAsia" w:ascii="仿宋" w:hAnsi="仿宋" w:eastAsia="仿宋" w:cs="仿宋"/>
          <w:b/>
          <w:sz w:val="32"/>
          <w:szCs w:val="32"/>
        </w:rPr>
        <w:t>（二）</w:t>
      </w:r>
      <w:r>
        <w:rPr>
          <w:rFonts w:hint="eastAsia" w:ascii="仿宋" w:hAnsi="仿宋" w:eastAsia="仿宋" w:cs="仿宋"/>
          <w:b/>
          <w:bCs/>
          <w:sz w:val="32"/>
          <w:szCs w:val="32"/>
        </w:rPr>
        <w:t>项目绩效目标。</w:t>
      </w:r>
    </w:p>
    <w:p>
      <w:pPr>
        <w:ind w:firstLine="640" w:firstLineChars="200"/>
        <w:jc w:val="left"/>
        <w:rPr>
          <w:rFonts w:hint="eastAsia" w:ascii="仿宋" w:hAnsi="仿宋" w:eastAsia="仿宋" w:cs="仿宋"/>
          <w:b/>
          <w:bCs/>
          <w:sz w:val="32"/>
          <w:szCs w:val="32"/>
        </w:rPr>
      </w:pPr>
      <w:r>
        <w:rPr>
          <w:rFonts w:hint="eastAsia" w:ascii="仿宋" w:hAnsi="仿宋" w:eastAsia="仿宋" w:cs="仿宋"/>
          <w:sz w:val="32"/>
          <w:szCs w:val="32"/>
        </w:rPr>
        <w:t>“院对院”结对帮扶，通过医院间的交流与帮扶，旨在提升基层医疗卫生机构服务能力。作为此次对口帮扶基层医疗卫生机构，质量上任务完成覆盖率100%，且在一年内完成，满意度达95%。</w:t>
      </w:r>
    </w:p>
    <w:p>
      <w:pPr>
        <w:ind w:firstLine="642" w:firstLineChars="200"/>
        <w:jc w:val="left"/>
        <w:rPr>
          <w:rFonts w:hint="eastAsia" w:ascii="仿宋" w:hAnsi="仿宋" w:eastAsia="仿宋" w:cs="仿宋"/>
          <w:sz w:val="32"/>
          <w:szCs w:val="32"/>
        </w:rPr>
      </w:pPr>
      <w:r>
        <w:rPr>
          <w:rFonts w:hint="eastAsia" w:ascii="仿宋" w:hAnsi="仿宋" w:eastAsia="仿宋" w:cs="仿宋"/>
          <w:b/>
          <w:bCs/>
          <w:sz w:val="32"/>
          <w:szCs w:val="32"/>
        </w:rPr>
        <w:t>（三）项目资金申报相符性。</w:t>
      </w:r>
    </w:p>
    <w:p>
      <w:pPr>
        <w:ind w:left="-442" w:firstLine="640" w:firstLineChars="200"/>
        <w:jc w:val="left"/>
        <w:rPr>
          <w:rFonts w:hint="eastAsia" w:ascii="仿宋" w:hAnsi="仿宋" w:eastAsia="仿宋" w:cs="仿宋"/>
          <w:sz w:val="32"/>
          <w:szCs w:val="32"/>
        </w:rPr>
      </w:pPr>
      <w:r>
        <w:rPr>
          <w:rFonts w:hint="eastAsia" w:ascii="仿宋" w:hAnsi="仿宋" w:eastAsia="仿宋" w:cs="仿宋"/>
          <w:bCs/>
          <w:sz w:val="32"/>
          <w:szCs w:val="32"/>
          <w:lang w:val="zh-CN"/>
        </w:rPr>
        <w:t>严格按照要求申报资金，相关</w:t>
      </w:r>
      <w:r>
        <w:rPr>
          <w:rFonts w:hint="eastAsia" w:ascii="仿宋" w:hAnsi="仿宋" w:eastAsia="仿宋" w:cs="仿宋"/>
          <w:bCs/>
          <w:sz w:val="32"/>
          <w:szCs w:val="32"/>
        </w:rPr>
        <w:t>资料真实合理。</w:t>
      </w:r>
    </w:p>
    <w:p>
      <w:pPr>
        <w:adjustRightInd w:val="0"/>
        <w:snapToGrid w:val="0"/>
        <w:spacing w:line="578"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二、项目实施及管理情况</w:t>
      </w:r>
    </w:p>
    <w:p>
      <w:pPr>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（一）资金计划、到位及使用情况。</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1．资金计划及到位。2022年财政下达“院对院”结对帮扶资金2万元，于2022年12月31日前已全部</w:t>
      </w:r>
      <w:r>
        <w:rPr>
          <w:rFonts w:hint="eastAsia" w:ascii="仿宋" w:hAnsi="仿宋" w:eastAsia="仿宋" w:cs="仿宋"/>
          <w:sz w:val="32"/>
          <w:szCs w:val="32"/>
          <w:lang w:val="en-US" w:eastAsia="zh-CN"/>
        </w:rPr>
        <w:t>到位。</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2．资金使用。</w:t>
      </w:r>
      <w:r>
        <w:rPr>
          <w:rFonts w:hint="eastAsia" w:ascii="仿宋" w:hAnsi="仿宋" w:eastAsia="仿宋" w:cs="仿宋"/>
          <w:sz w:val="32"/>
          <w:szCs w:val="32"/>
          <w:lang w:val="en-US" w:eastAsia="zh-CN"/>
        </w:rPr>
        <w:t>截止2022年12月31日，</w:t>
      </w:r>
      <w:r>
        <w:rPr>
          <w:rFonts w:hint="eastAsia" w:ascii="仿宋" w:hAnsi="仿宋" w:eastAsia="仿宋" w:cs="仿宋"/>
          <w:sz w:val="32"/>
          <w:szCs w:val="32"/>
        </w:rPr>
        <w:t>财政审核审核</w:t>
      </w:r>
      <w:r>
        <w:rPr>
          <w:rFonts w:hint="eastAsia" w:ascii="仿宋" w:hAnsi="仿宋" w:eastAsia="仿宋" w:cs="仿宋"/>
          <w:sz w:val="32"/>
          <w:szCs w:val="32"/>
          <w:lang w:val="zh-CN"/>
        </w:rPr>
        <w:t>资金及时足额发放，</w:t>
      </w:r>
      <w:r>
        <w:rPr>
          <w:rFonts w:hint="eastAsia" w:ascii="仿宋" w:hAnsi="仿宋" w:eastAsia="仿宋" w:cs="仿宋"/>
          <w:sz w:val="32"/>
          <w:szCs w:val="32"/>
          <w:lang w:val="en-US" w:eastAsia="zh-CN"/>
        </w:rPr>
        <w:t>资金执行</w:t>
      </w:r>
      <w:r>
        <w:rPr>
          <w:rFonts w:hint="eastAsia" w:ascii="仿宋" w:hAnsi="仿宋" w:eastAsia="仿宋" w:cs="仿宋"/>
          <w:sz w:val="32"/>
          <w:szCs w:val="32"/>
          <w:lang w:val="zh-CN"/>
        </w:rPr>
        <w:t>率100%,支付合规合法，资金支付与预</w:t>
      </w:r>
      <w:r>
        <w:rPr>
          <w:rFonts w:hint="eastAsia" w:ascii="仿宋" w:hAnsi="仿宋" w:eastAsia="仿宋" w:cs="仿宋"/>
          <w:sz w:val="32"/>
          <w:szCs w:val="32"/>
          <w:lang w:val="en-US" w:eastAsia="zh-CN"/>
        </w:rPr>
        <w:t>决</w:t>
      </w:r>
      <w:r>
        <w:rPr>
          <w:rFonts w:hint="eastAsia" w:ascii="仿宋" w:hAnsi="仿宋" w:eastAsia="仿宋" w:cs="仿宋"/>
          <w:sz w:val="32"/>
          <w:szCs w:val="32"/>
          <w:lang w:val="zh-CN"/>
        </w:rPr>
        <w:t>算相符。</w:t>
      </w:r>
    </w:p>
    <w:p>
      <w:pPr>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（二）项目财务管理情况。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严格执行政府财务管理制度、财务处理及时、会计核算规范</w:t>
      </w:r>
      <w:r>
        <w:rPr>
          <w:rFonts w:hint="eastAsia" w:ascii="仿宋" w:hAnsi="仿宋" w:eastAsia="仿宋" w:cs="仿宋"/>
          <w:sz w:val="32"/>
          <w:szCs w:val="32"/>
        </w:rPr>
        <w:t>。</w:t>
      </w:r>
    </w:p>
    <w:p>
      <w:pPr>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（三）项目组织实施情况。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rPr>
        <w:t>我</w:t>
      </w:r>
      <w:r>
        <w:rPr>
          <w:rFonts w:hint="eastAsia" w:ascii="仿宋" w:hAnsi="仿宋" w:eastAsia="仿宋" w:cs="仿宋"/>
          <w:i w:val="0"/>
          <w:iCs w:val="0"/>
          <w:caps w:val="0"/>
          <w:color w:val="333333"/>
          <w:spacing w:val="0"/>
          <w:sz w:val="32"/>
          <w:szCs w:val="32"/>
          <w:shd w:val="clear" w:color="auto" w:fill="FFFFFF"/>
          <w:lang w:eastAsia="zh-CN"/>
        </w:rPr>
        <w:t>院</w:t>
      </w:r>
      <w:r>
        <w:rPr>
          <w:rFonts w:hint="eastAsia" w:ascii="仿宋" w:hAnsi="仿宋" w:eastAsia="仿宋" w:cs="仿宋"/>
          <w:i w:val="0"/>
          <w:iCs w:val="0"/>
          <w:caps w:val="0"/>
          <w:color w:val="333333"/>
          <w:spacing w:val="0"/>
          <w:sz w:val="32"/>
          <w:szCs w:val="32"/>
          <w:shd w:val="clear" w:color="auto" w:fill="FFFFFF"/>
        </w:rPr>
        <w:t>对</w:t>
      </w:r>
      <w:r>
        <w:rPr>
          <w:rFonts w:hint="eastAsia" w:ascii="仿宋" w:hAnsi="仿宋" w:eastAsia="仿宋" w:cs="仿宋"/>
          <w:i w:val="0"/>
          <w:iCs w:val="0"/>
          <w:caps w:val="0"/>
          <w:color w:val="333333"/>
          <w:spacing w:val="0"/>
          <w:sz w:val="32"/>
          <w:szCs w:val="32"/>
          <w:shd w:val="clear" w:color="auto" w:fill="FFFFFF"/>
          <w:lang w:val="en-US" w:eastAsia="zh-CN"/>
        </w:rPr>
        <w:t>院对院结对帮扶</w:t>
      </w:r>
      <w:r>
        <w:rPr>
          <w:rFonts w:hint="eastAsia" w:ascii="仿宋" w:hAnsi="仿宋" w:eastAsia="仿宋" w:cs="仿宋"/>
          <w:i w:val="0"/>
          <w:iCs w:val="0"/>
          <w:caps w:val="0"/>
          <w:color w:val="333333"/>
          <w:spacing w:val="0"/>
          <w:sz w:val="32"/>
          <w:szCs w:val="32"/>
          <w:shd w:val="clear" w:color="auto" w:fill="FFFFFF"/>
        </w:rPr>
        <w:t>项目非常重视，成立了由</w:t>
      </w:r>
      <w:r>
        <w:rPr>
          <w:rFonts w:hint="eastAsia" w:ascii="仿宋" w:hAnsi="仿宋" w:eastAsia="仿宋" w:cs="仿宋"/>
          <w:i w:val="0"/>
          <w:iCs w:val="0"/>
          <w:caps w:val="0"/>
          <w:color w:val="333333"/>
          <w:spacing w:val="0"/>
          <w:sz w:val="32"/>
          <w:szCs w:val="32"/>
          <w:shd w:val="clear" w:color="auto" w:fill="FFFFFF"/>
          <w:lang w:eastAsia="zh-CN"/>
        </w:rPr>
        <w:t>院长</w:t>
      </w:r>
      <w:r>
        <w:rPr>
          <w:rFonts w:hint="eastAsia" w:ascii="仿宋" w:hAnsi="仿宋" w:eastAsia="仿宋" w:cs="仿宋"/>
          <w:i w:val="0"/>
          <w:iCs w:val="0"/>
          <w:caps w:val="0"/>
          <w:color w:val="333333"/>
          <w:spacing w:val="0"/>
          <w:sz w:val="32"/>
          <w:szCs w:val="32"/>
          <w:shd w:val="clear" w:color="auto" w:fill="FFFFFF"/>
        </w:rPr>
        <w:t>为组长，分管</w:t>
      </w:r>
      <w:r>
        <w:rPr>
          <w:rFonts w:hint="eastAsia" w:ascii="仿宋" w:hAnsi="仿宋" w:eastAsia="仿宋" w:cs="仿宋"/>
          <w:i w:val="0"/>
          <w:iCs w:val="0"/>
          <w:caps w:val="0"/>
          <w:color w:val="333333"/>
          <w:spacing w:val="0"/>
          <w:sz w:val="32"/>
          <w:szCs w:val="32"/>
          <w:shd w:val="clear" w:color="auto" w:fill="FFFFFF"/>
          <w:lang w:eastAsia="zh-CN"/>
        </w:rPr>
        <w:t>副院长</w:t>
      </w:r>
      <w:r>
        <w:rPr>
          <w:rFonts w:hint="eastAsia" w:ascii="仿宋" w:hAnsi="仿宋" w:eastAsia="仿宋" w:cs="仿宋"/>
          <w:i w:val="0"/>
          <w:iCs w:val="0"/>
          <w:caps w:val="0"/>
          <w:color w:val="333333"/>
          <w:spacing w:val="0"/>
          <w:sz w:val="32"/>
          <w:szCs w:val="32"/>
          <w:shd w:val="clear" w:color="auto" w:fill="FFFFFF"/>
        </w:rPr>
        <w:t>为副组长，相关</w:t>
      </w:r>
      <w:r>
        <w:rPr>
          <w:rFonts w:hint="eastAsia" w:ascii="仿宋" w:hAnsi="仿宋" w:eastAsia="仿宋" w:cs="仿宋"/>
          <w:i w:val="0"/>
          <w:iCs w:val="0"/>
          <w:caps w:val="0"/>
          <w:color w:val="333333"/>
          <w:spacing w:val="0"/>
          <w:sz w:val="32"/>
          <w:szCs w:val="32"/>
          <w:shd w:val="clear" w:color="auto" w:fill="FFFFFF"/>
          <w:lang w:eastAsia="zh-CN"/>
        </w:rPr>
        <w:t>科室</w:t>
      </w:r>
      <w:r>
        <w:rPr>
          <w:rFonts w:hint="eastAsia" w:ascii="仿宋" w:hAnsi="仿宋" w:eastAsia="仿宋" w:cs="仿宋"/>
          <w:i w:val="0"/>
          <w:iCs w:val="0"/>
          <w:caps w:val="0"/>
          <w:color w:val="333333"/>
          <w:spacing w:val="0"/>
          <w:sz w:val="32"/>
          <w:szCs w:val="32"/>
          <w:shd w:val="clear" w:color="auto" w:fill="FFFFFF"/>
        </w:rPr>
        <w:t>为成员，</w:t>
      </w:r>
      <w:r>
        <w:rPr>
          <w:rFonts w:hint="eastAsia" w:ascii="仿宋" w:hAnsi="仿宋" w:eastAsia="仿宋" w:cs="仿宋"/>
          <w:i w:val="0"/>
          <w:iCs w:val="0"/>
          <w:caps w:val="0"/>
          <w:color w:val="auto"/>
          <w:spacing w:val="0"/>
          <w:sz w:val="32"/>
          <w:szCs w:val="32"/>
          <w:shd w:val="clear" w:color="auto" w:fill="FFFFFF"/>
          <w:lang w:val="en-US" w:eastAsia="zh-CN"/>
        </w:rPr>
        <w:t>办公室</w:t>
      </w:r>
      <w:r>
        <w:rPr>
          <w:rFonts w:hint="eastAsia" w:ascii="仿宋" w:hAnsi="仿宋" w:eastAsia="仿宋" w:cs="仿宋"/>
          <w:i w:val="0"/>
          <w:iCs w:val="0"/>
          <w:caps w:val="0"/>
          <w:color w:val="auto"/>
          <w:spacing w:val="0"/>
          <w:sz w:val="32"/>
          <w:szCs w:val="32"/>
          <w:shd w:val="clear" w:color="auto" w:fill="FFFFFF"/>
        </w:rPr>
        <w:t>具体负责开展此项工作。为加强我</w:t>
      </w:r>
      <w:r>
        <w:rPr>
          <w:rFonts w:hint="eastAsia" w:ascii="仿宋" w:hAnsi="仿宋" w:eastAsia="仿宋" w:cs="仿宋"/>
          <w:i w:val="0"/>
          <w:iCs w:val="0"/>
          <w:caps w:val="0"/>
          <w:color w:val="auto"/>
          <w:spacing w:val="0"/>
          <w:sz w:val="32"/>
          <w:szCs w:val="32"/>
          <w:shd w:val="clear" w:color="auto" w:fill="FFFFFF"/>
          <w:lang w:eastAsia="zh-CN"/>
        </w:rPr>
        <w:t>院</w:t>
      </w:r>
      <w:r>
        <w:rPr>
          <w:rFonts w:hint="eastAsia" w:ascii="仿宋" w:hAnsi="仿宋" w:eastAsia="仿宋" w:cs="仿宋"/>
          <w:i w:val="0"/>
          <w:iCs w:val="0"/>
          <w:caps w:val="0"/>
          <w:color w:val="auto"/>
          <w:spacing w:val="0"/>
          <w:sz w:val="32"/>
          <w:szCs w:val="32"/>
          <w:shd w:val="clear" w:color="auto" w:fill="FFFFFF"/>
        </w:rPr>
        <w:t>实施</w:t>
      </w:r>
      <w:r>
        <w:rPr>
          <w:rFonts w:hint="eastAsia" w:ascii="仿宋" w:hAnsi="仿宋" w:eastAsia="仿宋" w:cs="仿宋"/>
          <w:i w:val="0"/>
          <w:iCs w:val="0"/>
          <w:caps w:val="0"/>
          <w:color w:val="auto"/>
          <w:spacing w:val="0"/>
          <w:sz w:val="32"/>
          <w:szCs w:val="32"/>
          <w:shd w:val="clear" w:color="auto" w:fill="FFFFFF"/>
          <w:lang w:val="en-US" w:eastAsia="zh-CN"/>
        </w:rPr>
        <w:t>院对院结对项目</w:t>
      </w:r>
      <w:r>
        <w:rPr>
          <w:rFonts w:hint="eastAsia" w:ascii="仿宋" w:hAnsi="仿宋" w:eastAsia="仿宋" w:cs="仿宋"/>
          <w:i w:val="0"/>
          <w:iCs w:val="0"/>
          <w:caps w:val="0"/>
          <w:color w:val="333333"/>
          <w:spacing w:val="0"/>
          <w:sz w:val="32"/>
          <w:szCs w:val="32"/>
          <w:shd w:val="clear" w:color="auto" w:fill="FFFFFF"/>
        </w:rPr>
        <w:t>绩效考核工作，提高</w:t>
      </w:r>
      <w:r>
        <w:rPr>
          <w:rFonts w:hint="eastAsia" w:ascii="仿宋" w:hAnsi="仿宋" w:eastAsia="仿宋" w:cs="仿宋"/>
          <w:i w:val="0"/>
          <w:iCs w:val="0"/>
          <w:caps w:val="0"/>
          <w:color w:val="333333"/>
          <w:spacing w:val="0"/>
          <w:sz w:val="32"/>
          <w:szCs w:val="32"/>
          <w:shd w:val="clear" w:color="auto" w:fill="FFFFFF"/>
          <w:lang w:val="en-US" w:eastAsia="zh-CN"/>
        </w:rPr>
        <w:t>院对院结对帮扶</w:t>
      </w:r>
      <w:r>
        <w:rPr>
          <w:rFonts w:hint="eastAsia" w:ascii="仿宋" w:hAnsi="仿宋" w:eastAsia="仿宋" w:cs="仿宋"/>
          <w:i w:val="0"/>
          <w:iCs w:val="0"/>
          <w:caps w:val="0"/>
          <w:color w:val="333333"/>
          <w:spacing w:val="0"/>
          <w:sz w:val="32"/>
          <w:szCs w:val="32"/>
          <w:shd w:val="clear" w:color="auto" w:fill="FFFFFF"/>
        </w:rPr>
        <w:t>经费使用效率，</w:t>
      </w:r>
      <w:r>
        <w:rPr>
          <w:rFonts w:hint="eastAsia" w:ascii="仿宋" w:hAnsi="仿宋" w:eastAsia="仿宋" w:cs="仿宋"/>
          <w:i w:val="0"/>
          <w:iCs w:val="0"/>
          <w:caps w:val="0"/>
          <w:color w:val="333333"/>
          <w:spacing w:val="0"/>
          <w:sz w:val="32"/>
          <w:szCs w:val="32"/>
          <w:shd w:val="clear" w:color="auto" w:fill="FFFFFF"/>
          <w:lang w:val="en-US" w:eastAsia="zh-CN"/>
        </w:rPr>
        <w:t>及时安排人员进行交流学习</w:t>
      </w:r>
      <w:r>
        <w:rPr>
          <w:rFonts w:hint="eastAsia" w:ascii="仿宋" w:hAnsi="仿宋" w:eastAsia="仿宋" w:cs="仿宋"/>
          <w:i w:val="0"/>
          <w:iCs w:val="0"/>
          <w:caps w:val="0"/>
          <w:color w:val="333333"/>
          <w:spacing w:val="0"/>
          <w:sz w:val="32"/>
          <w:szCs w:val="32"/>
          <w:shd w:val="clear" w:color="auto" w:fill="FFFFFF"/>
          <w:lang w:eastAsia="zh-CN"/>
        </w:rPr>
        <w:t>。</w:t>
      </w:r>
      <w:r>
        <w:rPr>
          <w:rFonts w:hint="eastAsia" w:ascii="仿宋" w:hAnsi="仿宋" w:eastAsia="仿宋" w:cs="仿宋"/>
          <w:i w:val="0"/>
          <w:iCs w:val="0"/>
          <w:caps w:val="0"/>
          <w:color w:val="333333"/>
          <w:spacing w:val="0"/>
          <w:sz w:val="32"/>
          <w:szCs w:val="32"/>
          <w:shd w:val="clear" w:color="auto" w:fill="FFFFFF"/>
        </w:rPr>
        <w:t>落实日常监督管理</w:t>
      </w:r>
      <w:r>
        <w:rPr>
          <w:rFonts w:hint="eastAsia" w:ascii="仿宋" w:hAnsi="仿宋" w:eastAsia="仿宋" w:cs="仿宋"/>
          <w:i w:val="0"/>
          <w:iCs w:val="0"/>
          <w:caps w:val="0"/>
          <w:color w:val="333333"/>
          <w:spacing w:val="0"/>
          <w:sz w:val="32"/>
          <w:szCs w:val="32"/>
          <w:shd w:val="clear" w:color="auto" w:fill="FFFFFF"/>
          <w:lang w:eastAsia="zh-CN"/>
        </w:rPr>
        <w:t>，</w:t>
      </w:r>
      <w:r>
        <w:rPr>
          <w:rFonts w:hint="eastAsia" w:ascii="仿宋" w:hAnsi="仿宋" w:eastAsia="仿宋" w:cs="仿宋"/>
          <w:i w:val="0"/>
          <w:iCs w:val="0"/>
          <w:caps w:val="0"/>
          <w:color w:val="333333"/>
          <w:spacing w:val="0"/>
          <w:sz w:val="32"/>
          <w:szCs w:val="32"/>
          <w:shd w:val="clear" w:color="auto" w:fill="FFFFFF"/>
          <w:lang w:val="en-US" w:eastAsia="zh-CN"/>
        </w:rPr>
        <w:t>严格资金用途，专款专用。</w:t>
      </w:r>
    </w:p>
    <w:p>
      <w:pPr>
        <w:adjustRightInd w:val="0"/>
        <w:snapToGrid w:val="0"/>
        <w:spacing w:line="578"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三、项目绩效情况</w:t>
      </w:r>
    </w:p>
    <w:p>
      <w:pPr>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（一）项目完成情况。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剑阁县</w:t>
      </w:r>
      <w:r>
        <w:rPr>
          <w:rFonts w:hint="eastAsia" w:ascii="仿宋" w:hAnsi="仿宋" w:eastAsia="仿宋" w:cs="仿宋"/>
          <w:sz w:val="32"/>
          <w:szCs w:val="32"/>
          <w:lang w:val="en-US" w:eastAsia="zh-CN"/>
        </w:rPr>
        <w:t>白龙</w:t>
      </w:r>
      <w:r>
        <w:rPr>
          <w:rFonts w:hint="eastAsia" w:ascii="仿宋" w:hAnsi="仿宋" w:eastAsia="仿宋" w:cs="仿宋"/>
          <w:sz w:val="32"/>
          <w:szCs w:val="32"/>
        </w:rPr>
        <w:t>镇中心卫生院2022年“院对院”结对帮扶资金2万元，于2022年12月31日前已全部用于“院对院”结对帮扶项目中。</w:t>
      </w:r>
    </w:p>
    <w:p>
      <w:pPr>
        <w:ind w:firstLine="642" w:firstLineChars="200"/>
        <w:jc w:val="left"/>
        <w:rPr>
          <w:rFonts w:hint="eastAsia" w:ascii="仿宋" w:hAnsi="仿宋" w:eastAsia="仿宋" w:cs="仿宋"/>
          <w:sz w:val="32"/>
          <w:szCs w:val="32"/>
        </w:rPr>
      </w:pPr>
      <w:r>
        <w:rPr>
          <w:rFonts w:hint="eastAsia" w:ascii="仿宋" w:hAnsi="仿宋" w:eastAsia="仿宋" w:cs="仿宋"/>
          <w:b/>
          <w:bCs/>
          <w:sz w:val="32"/>
          <w:szCs w:val="32"/>
        </w:rPr>
        <w:t>（二）项目效益情况。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依据年初下达的目标及任务数，</w:t>
      </w:r>
      <w:r>
        <w:rPr>
          <w:rFonts w:hint="eastAsia" w:ascii="仿宋" w:hAnsi="仿宋" w:eastAsia="仿宋" w:cs="仿宋"/>
          <w:sz w:val="32"/>
          <w:szCs w:val="32"/>
          <w:lang w:val="en-US" w:eastAsia="zh-CN"/>
        </w:rPr>
        <w:t>截止2022年12月31日，我院任务完成覆盖率100%，通过交流学习，提高医院专技人员业务能力，提升医院服务能力。</w:t>
      </w:r>
    </w:p>
    <w:p>
      <w:pPr>
        <w:ind w:firstLine="640" w:firstLineChars="200"/>
        <w:jc w:val="left"/>
        <w:rPr>
          <w:rFonts w:hint="eastAsia" w:ascii="仿宋" w:hAnsi="仿宋" w:eastAsia="仿宋" w:cs="仿宋"/>
          <w:b/>
          <w:bCs/>
          <w:sz w:val="32"/>
          <w:szCs w:val="32"/>
        </w:rPr>
      </w:pPr>
      <w:r>
        <w:rPr>
          <w:rFonts w:hint="eastAsia" w:ascii="仿宋" w:hAnsi="仿宋" w:eastAsia="仿宋" w:cs="仿宋"/>
          <w:sz w:val="32"/>
          <w:szCs w:val="32"/>
        </w:rPr>
        <w:t>四、问题及建议</w:t>
      </w:r>
    </w:p>
    <w:p>
      <w:pPr>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（一）存在的问题。</w:t>
      </w:r>
    </w:p>
    <w:p>
      <w:pPr>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无。</w:t>
      </w:r>
    </w:p>
    <w:p>
      <w:pPr>
        <w:ind w:firstLine="642" w:firstLineChars="200"/>
        <w:jc w:val="left"/>
        <w:rPr>
          <w:rFonts w:hint="eastAsia" w:ascii="仿宋" w:hAnsi="仿宋" w:eastAsia="仿宋" w:cs="仿宋"/>
          <w:sz w:val="32"/>
          <w:szCs w:val="32"/>
        </w:rPr>
      </w:pPr>
      <w:r>
        <w:rPr>
          <w:rFonts w:hint="eastAsia" w:ascii="仿宋" w:hAnsi="仿宋" w:eastAsia="仿宋" w:cs="仿宋"/>
          <w:b/>
          <w:bCs/>
          <w:sz w:val="32"/>
          <w:szCs w:val="32"/>
        </w:rPr>
        <w:t>（二）相关建议。</w:t>
      </w:r>
    </w:p>
    <w:p>
      <w:pPr>
        <w:spacing w:line="4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无。</w:t>
      </w:r>
    </w:p>
    <w:p>
      <w:pPr>
        <w:pStyle w:val="2"/>
        <w:rPr>
          <w:rFonts w:hint="eastAsia" w:ascii="仿宋" w:hAnsi="仿宋" w:eastAsia="仿宋" w:cs="仿宋"/>
          <w:sz w:val="32"/>
          <w:szCs w:val="32"/>
        </w:rPr>
      </w:pPr>
    </w:p>
    <w:p>
      <w:pPr>
        <w:rPr>
          <w:rFonts w:hint="eastAsia"/>
        </w:rPr>
      </w:pPr>
    </w:p>
    <w:tbl>
      <w:tblPr>
        <w:tblStyle w:val="17"/>
        <w:tblW w:w="5000" w:type="pct"/>
        <w:tblInd w:w="0" w:type="dxa"/>
        <w:shd w:val="clear" w:color="auto" w:fill="auto"/>
        <w:tblLayout w:type="autofit"/>
        <w:tblCellMar>
          <w:top w:w="0" w:type="dxa"/>
          <w:left w:w="0" w:type="dxa"/>
          <w:bottom w:w="0" w:type="dxa"/>
          <w:right w:w="0" w:type="dxa"/>
        </w:tblCellMar>
      </w:tblPr>
      <w:tblGrid>
        <w:gridCol w:w="399"/>
        <w:gridCol w:w="1210"/>
        <w:gridCol w:w="1046"/>
        <w:gridCol w:w="1334"/>
        <w:gridCol w:w="310"/>
        <w:gridCol w:w="988"/>
        <w:gridCol w:w="308"/>
        <w:gridCol w:w="655"/>
        <w:gridCol w:w="295"/>
        <w:gridCol w:w="267"/>
        <w:gridCol w:w="1518"/>
      </w:tblGrid>
      <w:tr>
        <w:tblPrEx>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bookmarkStart w:id="74" w:name="_Toc15396618"/>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51082322T000007030163-“院对院”结对</w:t>
            </w:r>
          </w:p>
        </w:tc>
      </w:tr>
      <w:tr>
        <w:tblPrEx>
          <w:shd w:val="clear" w:color="auto" w:fill="auto"/>
          <w:tblCellMar>
            <w:top w:w="0" w:type="dxa"/>
            <w:left w:w="0" w:type="dxa"/>
            <w:bottom w:w="0" w:type="dxa"/>
            <w:right w:w="0"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393"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剑阁县卫生健康局部门</w:t>
            </w:r>
          </w:p>
        </w:tc>
        <w:tc>
          <w:tcPr>
            <w:tcW w:w="392" w:type="pct"/>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剑阁县白龙镇中心卫生院（剑阁县第三人民医院）</w:t>
            </w:r>
          </w:p>
        </w:tc>
      </w:tr>
      <w:tr>
        <w:tblPrEx>
          <w:shd w:val="clear" w:color="auto" w:fill="auto"/>
          <w:tblCellMar>
            <w:top w:w="0" w:type="dxa"/>
            <w:left w:w="0" w:type="dxa"/>
            <w:bottom w:w="0" w:type="dxa"/>
            <w:right w:w="0"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393"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639"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shd w:val="clear" w:color="auto" w:fill="auto"/>
          <w:tblCellMar>
            <w:top w:w="0" w:type="dxa"/>
            <w:left w:w="0" w:type="dxa"/>
            <w:bottom w:w="0" w:type="dxa"/>
            <w:right w:w="0"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2393"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“院对院“”结对帮扶，提升基层医疗机构服务能力。</w:t>
            </w:r>
          </w:p>
        </w:tc>
        <w:tc>
          <w:tcPr>
            <w:tcW w:w="1639"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shd w:val="clear" w:color="auto" w:fill="auto"/>
          <w:tblCellMar>
            <w:top w:w="0" w:type="dxa"/>
            <w:left w:w="0" w:type="dxa"/>
            <w:bottom w:w="0" w:type="dxa"/>
            <w:right w:w="0"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shd w:val="clear" w:color="auto" w:fill="auto"/>
          <w:tblCellMar>
            <w:top w:w="0" w:type="dxa"/>
            <w:left w:w="0" w:type="dxa"/>
            <w:bottom w:w="0" w:type="dxa"/>
            <w:right w:w="0"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shd w:val="clear" w:color="auto" w:fill="auto"/>
          <w:tblCellMar>
            <w:top w:w="0" w:type="dxa"/>
            <w:left w:w="0" w:type="dxa"/>
            <w:bottom w:w="0" w:type="dxa"/>
            <w:right w:w="0"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color w:val="000000"/>
                <w:sz w:val="16"/>
                <w:szCs w:val="16"/>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color w:val="000000"/>
                <w:sz w:val="16"/>
                <w:szCs w:val="16"/>
                <w:u w:val="none"/>
              </w:rPr>
            </w:pP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color w:val="000000"/>
                <w:sz w:val="16"/>
                <w:szCs w:val="16"/>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color w:val="000000"/>
                <w:sz w:val="16"/>
                <w:szCs w:val="16"/>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shd w:val="clear" w:color="auto" w:fill="auto"/>
          <w:tblCellMar>
            <w:top w:w="0" w:type="dxa"/>
            <w:left w:w="0" w:type="dxa"/>
            <w:bottom w:w="0" w:type="dxa"/>
            <w:right w:w="0"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任务完成覆盖率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color w:val="000000"/>
                <w:sz w:val="16"/>
                <w:szCs w:val="16"/>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color w:val="000000"/>
                <w:sz w:val="16"/>
                <w:szCs w:val="16"/>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卫生机构覆盖率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color w:val="000000"/>
                <w:sz w:val="16"/>
                <w:szCs w:val="16"/>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提升医院服务能力</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color w:val="000000"/>
                <w:sz w:val="16"/>
                <w:szCs w:val="16"/>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color w:val="000000"/>
                <w:sz w:val="16"/>
                <w:szCs w:val="16"/>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9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shd w:val="clear" w:color="auto" w:fill="auto"/>
          <w:tblCellMar>
            <w:top w:w="0" w:type="dxa"/>
            <w:left w:w="0" w:type="dxa"/>
            <w:bottom w:w="0" w:type="dxa"/>
            <w:right w:w="0"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shd w:val="clear" w:color="auto" w:fill="auto"/>
          <w:tblCellMar>
            <w:top w:w="0" w:type="dxa"/>
            <w:left w:w="0" w:type="dxa"/>
            <w:bottom w:w="0" w:type="dxa"/>
            <w:right w:w="0"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shd w:val="clear" w:color="auto" w:fill="auto"/>
          <w:tblCellMar>
            <w:top w:w="0" w:type="dxa"/>
            <w:left w:w="0" w:type="dxa"/>
            <w:bottom w:w="0" w:type="dxa"/>
            <w:right w:w="0" w:type="dxa"/>
          </w:tblCellMar>
        </w:tblPrEx>
        <w:trPr>
          <w:trHeight w:val="286" w:hRule="atLeast"/>
        </w:trPr>
        <w:tc>
          <w:tcPr>
            <w:tcW w:w="2581"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418" w:type="pct"/>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shd w:val="clear" w:color="auto" w:fill="auto"/>
          <w:tblCellMar>
            <w:top w:w="0" w:type="dxa"/>
            <w:left w:w="0" w:type="dxa"/>
            <w:bottom w:w="0" w:type="dxa"/>
            <w:right w:w="0" w:type="dxa"/>
          </w:tblCellMar>
        </w:tblPrEx>
        <w:trPr>
          <w:trHeight w:val="286" w:hRule="atLeast"/>
        </w:trPr>
        <w:tc>
          <w:tcPr>
            <w:tcW w:w="240" w:type="pct"/>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726" w:type="pct"/>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628" w:type="pct"/>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801" w:type="pct"/>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184" w:type="pct"/>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593" w:type="pct"/>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185" w:type="pct"/>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392" w:type="pct"/>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177" w:type="pct"/>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160" w:type="pct"/>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909" w:type="pct"/>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51082323T000007709260-常态化核酸检测</w:t>
            </w:r>
          </w:p>
        </w:tc>
      </w:tr>
      <w:tr>
        <w:tblPrEx>
          <w:shd w:val="clear" w:color="auto" w:fill="auto"/>
          <w:tblCellMar>
            <w:top w:w="0" w:type="dxa"/>
            <w:left w:w="0" w:type="dxa"/>
            <w:bottom w:w="0" w:type="dxa"/>
            <w:right w:w="0"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393"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剑阁县卫生健康局部门</w:t>
            </w:r>
          </w:p>
        </w:tc>
        <w:tc>
          <w:tcPr>
            <w:tcW w:w="392" w:type="pct"/>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剑阁县白龙镇中心卫生院（剑阁县第三人民医院）</w:t>
            </w:r>
          </w:p>
        </w:tc>
      </w:tr>
      <w:tr>
        <w:tblPrEx>
          <w:shd w:val="clear" w:color="auto" w:fill="auto"/>
          <w:tblCellMar>
            <w:top w:w="0" w:type="dxa"/>
            <w:left w:w="0" w:type="dxa"/>
            <w:bottom w:w="0" w:type="dxa"/>
            <w:right w:w="0" w:type="dxa"/>
          </w:tblCellMar>
        </w:tblPrEx>
        <w:trPr>
          <w:trHeight w:val="286"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393"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639"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shd w:val="clear" w:color="auto" w:fill="auto"/>
          <w:tblCellMar>
            <w:top w:w="0" w:type="dxa"/>
            <w:left w:w="0" w:type="dxa"/>
            <w:bottom w:w="0" w:type="dxa"/>
            <w:right w:w="0" w:type="dxa"/>
          </w:tblCellMar>
        </w:tblPrEx>
        <w:trPr>
          <w:trHeight w:val="708"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2393"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1639"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shd w:val="clear" w:color="auto" w:fill="auto"/>
          <w:tblCellMar>
            <w:top w:w="0" w:type="dxa"/>
            <w:left w:w="0" w:type="dxa"/>
            <w:bottom w:w="0" w:type="dxa"/>
            <w:right w:w="0" w:type="dxa"/>
          </w:tblCellMar>
        </w:tblPrEx>
        <w:trPr>
          <w:trHeight w:val="693"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61"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shd w:val="clear" w:color="auto" w:fill="auto"/>
          <w:tblCellMar>
            <w:top w:w="0" w:type="dxa"/>
            <w:left w:w="0" w:type="dxa"/>
            <w:bottom w:w="0" w:type="dxa"/>
            <w:right w:w="0" w:type="dxa"/>
          </w:tblCellMar>
        </w:tblPrEx>
        <w:trPr>
          <w:trHeight w:val="38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23.90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23.90</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shd w:val="clear" w:color="auto" w:fill="auto"/>
          <w:tblCellMar>
            <w:top w:w="0" w:type="dxa"/>
            <w:left w:w="0" w:type="dxa"/>
            <w:bottom w:w="0" w:type="dxa"/>
            <w:right w:w="0" w:type="dxa"/>
          </w:tblCellMar>
        </w:tblPrEx>
        <w:trPr>
          <w:trHeight w:val="43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23.90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23.90</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4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37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color w:val="000000"/>
                <w:sz w:val="16"/>
                <w:szCs w:val="16"/>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color w:val="000000"/>
                <w:sz w:val="16"/>
                <w:szCs w:val="16"/>
                <w:u w:val="none"/>
              </w:rPr>
            </w:pP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color w:val="000000"/>
                <w:sz w:val="16"/>
                <w:szCs w:val="16"/>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color w:val="000000"/>
                <w:sz w:val="16"/>
                <w:szCs w:val="16"/>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shd w:val="clear" w:color="auto" w:fill="auto"/>
          <w:tblCellMar>
            <w:top w:w="0" w:type="dxa"/>
            <w:left w:w="0" w:type="dxa"/>
            <w:bottom w:w="0" w:type="dxa"/>
            <w:right w:w="0" w:type="dxa"/>
          </w:tblCellMar>
        </w:tblPrEx>
        <w:trPr>
          <w:trHeight w:val="33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color w:val="000000"/>
                <w:sz w:val="16"/>
                <w:szCs w:val="16"/>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9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0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shd w:val="clear" w:color="auto" w:fill="auto"/>
          <w:tblCellMar>
            <w:top w:w="0" w:type="dxa"/>
            <w:left w:w="0" w:type="dxa"/>
            <w:bottom w:w="0" w:type="dxa"/>
            <w:right w:w="0"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shd w:val="clear" w:color="auto" w:fill="auto"/>
          <w:tblCellMar>
            <w:top w:w="0" w:type="dxa"/>
            <w:left w:w="0" w:type="dxa"/>
            <w:bottom w:w="0" w:type="dxa"/>
            <w:right w:w="0" w:type="dxa"/>
          </w:tblCellMar>
        </w:tblPrEx>
        <w:trPr>
          <w:trHeight w:val="6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shd w:val="clear" w:color="auto" w:fill="auto"/>
          <w:tblCellMar>
            <w:top w:w="0" w:type="dxa"/>
            <w:left w:w="0" w:type="dxa"/>
            <w:bottom w:w="0" w:type="dxa"/>
            <w:right w:w="0" w:type="dxa"/>
          </w:tblCellMar>
        </w:tblPrEx>
        <w:trPr>
          <w:trHeight w:val="286" w:hRule="atLeast"/>
        </w:trPr>
        <w:tc>
          <w:tcPr>
            <w:tcW w:w="2581"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418" w:type="pct"/>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rPr>
          <w:rFonts w:hint="eastAsia" w:ascii="黑体" w:hAnsi="黑体" w:eastAsia="黑体"/>
          <w:sz w:val="44"/>
          <w:szCs w:val="44"/>
        </w:rPr>
      </w:pPr>
      <w:bookmarkStart w:id="75" w:name="_Toc14305"/>
    </w:p>
    <w:p>
      <w:pPr>
        <w:spacing w:line="600" w:lineRule="exact"/>
        <w:jc w:val="center"/>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71"/>
      <w:bookmarkEnd w:id="74"/>
      <w:bookmarkEnd w:id="75"/>
      <w:bookmarkStart w:id="76" w:name="_Toc15396619"/>
    </w:p>
    <w:p>
      <w:pPr>
        <w:pStyle w:val="4"/>
        <w:rPr>
          <w:rFonts w:ascii="仿宋" w:hAnsi="仿宋" w:eastAsia="仿宋"/>
        </w:rPr>
      </w:pPr>
      <w:bookmarkStart w:id="77" w:name="_Toc13055"/>
      <w:r>
        <w:rPr>
          <w:rFonts w:hint="eastAsia" w:ascii="仿宋" w:hAnsi="仿宋" w:eastAsia="仿宋"/>
          <w:b w:val="0"/>
        </w:rPr>
        <w:t>一、收</w:t>
      </w:r>
      <w:r>
        <w:rPr>
          <w:rStyle w:val="30"/>
          <w:rFonts w:hint="eastAsia" w:ascii="仿宋" w:hAnsi="仿宋" w:eastAsia="仿宋"/>
          <w:b w:val="0"/>
          <w:bCs w:val="0"/>
        </w:rPr>
        <w:t>入支出决算总表</w:t>
      </w:r>
      <w:bookmarkEnd w:id="76"/>
      <w:bookmarkEnd w:id="77"/>
    </w:p>
    <w:p>
      <w:pPr>
        <w:pStyle w:val="4"/>
        <w:rPr>
          <w:rFonts w:ascii="仿宋" w:hAnsi="仿宋" w:eastAsia="仿宋"/>
        </w:rPr>
      </w:pPr>
      <w:bookmarkStart w:id="78" w:name="_Toc15396620"/>
      <w:bookmarkStart w:id="79" w:name="_Toc26852"/>
      <w:r>
        <w:rPr>
          <w:rFonts w:hint="eastAsia" w:ascii="仿宋" w:hAnsi="仿宋" w:eastAsia="仿宋"/>
          <w:b w:val="0"/>
        </w:rPr>
        <w:t>二、收</w:t>
      </w:r>
      <w:r>
        <w:rPr>
          <w:rStyle w:val="30"/>
          <w:rFonts w:hint="eastAsia" w:ascii="仿宋" w:hAnsi="仿宋" w:eastAsia="仿宋"/>
          <w:b w:val="0"/>
          <w:bCs w:val="0"/>
        </w:rPr>
        <w:t>入决算表</w:t>
      </w:r>
      <w:bookmarkEnd w:id="78"/>
      <w:bookmarkEnd w:id="79"/>
    </w:p>
    <w:p>
      <w:pPr>
        <w:pStyle w:val="4"/>
        <w:rPr>
          <w:rFonts w:ascii="仿宋" w:hAnsi="仿宋" w:eastAsia="仿宋"/>
        </w:rPr>
      </w:pPr>
      <w:bookmarkStart w:id="80" w:name="_Toc28843"/>
      <w:bookmarkStart w:id="81"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80"/>
      <w:bookmarkEnd w:id="81"/>
    </w:p>
    <w:p>
      <w:pPr>
        <w:pStyle w:val="4"/>
        <w:rPr>
          <w:rFonts w:ascii="仿宋" w:hAnsi="仿宋" w:eastAsia="仿宋"/>
          <w:b w:val="0"/>
        </w:rPr>
      </w:pPr>
      <w:bookmarkStart w:id="82" w:name="_Toc16227"/>
      <w:bookmarkStart w:id="83"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82"/>
      <w:bookmarkEnd w:id="83"/>
    </w:p>
    <w:p>
      <w:pPr>
        <w:pStyle w:val="4"/>
        <w:rPr>
          <w:rStyle w:val="30"/>
          <w:rFonts w:ascii="仿宋" w:hAnsi="仿宋" w:eastAsia="仿宋"/>
          <w:b w:val="0"/>
          <w:bCs w:val="0"/>
        </w:rPr>
      </w:pPr>
      <w:bookmarkStart w:id="84" w:name="_Toc14784"/>
      <w:bookmarkStart w:id="85"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84"/>
      <w:bookmarkEnd w:id="85"/>
      <w:bookmarkStart w:id="86" w:name="_Toc15396624"/>
    </w:p>
    <w:p>
      <w:pPr>
        <w:pStyle w:val="4"/>
        <w:rPr>
          <w:rFonts w:ascii="仿宋" w:hAnsi="仿宋" w:eastAsia="仿宋"/>
        </w:rPr>
      </w:pPr>
      <w:bookmarkStart w:id="87" w:name="_Toc3340"/>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86"/>
      <w:bookmarkEnd w:id="87"/>
    </w:p>
    <w:p>
      <w:pPr>
        <w:pStyle w:val="4"/>
        <w:rPr>
          <w:rFonts w:ascii="仿宋" w:hAnsi="仿宋" w:eastAsia="仿宋"/>
        </w:rPr>
      </w:pPr>
      <w:bookmarkStart w:id="88" w:name="_Toc10803"/>
      <w:bookmarkStart w:id="89"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88"/>
      <w:bookmarkEnd w:id="89"/>
    </w:p>
    <w:p>
      <w:pPr>
        <w:pStyle w:val="4"/>
        <w:rPr>
          <w:rFonts w:ascii="仿宋" w:hAnsi="仿宋" w:eastAsia="仿宋"/>
        </w:rPr>
      </w:pPr>
      <w:bookmarkStart w:id="90" w:name="_Toc15396626"/>
      <w:bookmarkStart w:id="91" w:name="_Toc13068"/>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90"/>
      <w:bookmarkEnd w:id="91"/>
    </w:p>
    <w:p>
      <w:pPr>
        <w:pStyle w:val="4"/>
        <w:rPr>
          <w:rFonts w:ascii="仿宋" w:hAnsi="仿宋" w:eastAsia="仿宋"/>
        </w:rPr>
      </w:pPr>
      <w:bookmarkStart w:id="92" w:name="_Toc15396627"/>
      <w:bookmarkStart w:id="93" w:name="_Toc18240"/>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92"/>
      <w:bookmarkEnd w:id="93"/>
    </w:p>
    <w:p>
      <w:pPr>
        <w:pStyle w:val="4"/>
        <w:rPr>
          <w:rFonts w:ascii="仿宋" w:hAnsi="仿宋" w:eastAsia="仿宋"/>
        </w:rPr>
      </w:pPr>
      <w:bookmarkStart w:id="94" w:name="_Toc15396628"/>
      <w:bookmarkStart w:id="95" w:name="_Toc20311"/>
      <w:r>
        <w:rPr>
          <w:rStyle w:val="30"/>
          <w:rFonts w:hint="eastAsia" w:ascii="仿宋" w:hAnsi="仿宋" w:eastAsia="仿宋"/>
          <w:b w:val="0"/>
          <w:bCs w:val="0"/>
        </w:rPr>
        <w:t>十、</w:t>
      </w:r>
      <w:bookmarkEnd w:id="94"/>
      <w:r>
        <w:rPr>
          <w:rFonts w:hint="eastAsia" w:ascii="仿宋" w:hAnsi="仿宋" w:eastAsia="仿宋"/>
          <w:b w:val="0"/>
        </w:rPr>
        <w:t>政</w:t>
      </w:r>
      <w:r>
        <w:rPr>
          <w:rStyle w:val="30"/>
          <w:rFonts w:hint="eastAsia" w:ascii="仿宋" w:hAnsi="仿宋" w:eastAsia="仿宋"/>
          <w:b w:val="0"/>
          <w:bCs w:val="0"/>
        </w:rPr>
        <w:t>府性基金预算财政拨款收入支出决算表</w:t>
      </w:r>
      <w:bookmarkEnd w:id="95"/>
    </w:p>
    <w:p>
      <w:pPr>
        <w:pStyle w:val="4"/>
        <w:rPr>
          <w:rFonts w:ascii="仿宋" w:hAnsi="仿宋" w:eastAsia="仿宋"/>
        </w:rPr>
      </w:pPr>
      <w:bookmarkStart w:id="96" w:name="_Toc15396629"/>
      <w:bookmarkStart w:id="97" w:name="_Toc13869"/>
      <w:r>
        <w:rPr>
          <w:rStyle w:val="30"/>
          <w:rFonts w:hint="eastAsia" w:ascii="仿宋" w:hAnsi="仿宋" w:eastAsia="仿宋"/>
          <w:b w:val="0"/>
          <w:bCs w:val="0"/>
        </w:rPr>
        <w:t>十一、</w:t>
      </w:r>
      <w:bookmarkEnd w:id="96"/>
      <w:r>
        <w:rPr>
          <w:rFonts w:hint="eastAsia" w:ascii="仿宋" w:hAnsi="仿宋" w:eastAsia="仿宋"/>
          <w:b w:val="0"/>
        </w:rPr>
        <w:t>国</w:t>
      </w:r>
      <w:r>
        <w:rPr>
          <w:rStyle w:val="30"/>
          <w:rFonts w:hint="eastAsia" w:ascii="仿宋" w:hAnsi="仿宋" w:eastAsia="仿宋"/>
          <w:b w:val="0"/>
          <w:bCs w:val="0"/>
        </w:rPr>
        <w:t>有资本经营预算财政拨款收入支出决算表</w:t>
      </w:r>
      <w:bookmarkEnd w:id="97"/>
    </w:p>
    <w:p>
      <w:pPr>
        <w:pStyle w:val="4"/>
        <w:rPr>
          <w:rFonts w:ascii="仿宋" w:hAnsi="仿宋" w:eastAsia="仿宋"/>
        </w:rPr>
      </w:pPr>
      <w:bookmarkStart w:id="98" w:name="_Toc15396630"/>
      <w:bookmarkStart w:id="99" w:name="_Toc23752"/>
      <w:r>
        <w:rPr>
          <w:rStyle w:val="30"/>
          <w:rFonts w:hint="eastAsia" w:ascii="仿宋" w:hAnsi="仿宋" w:eastAsia="仿宋"/>
          <w:b w:val="0"/>
          <w:bCs w:val="0"/>
        </w:rPr>
        <w:t>十二、</w:t>
      </w:r>
      <w:bookmarkEnd w:id="98"/>
      <w:r>
        <w:rPr>
          <w:rStyle w:val="30"/>
          <w:rFonts w:hint="eastAsia" w:ascii="仿宋" w:hAnsi="仿宋" w:eastAsia="仿宋"/>
          <w:b w:val="0"/>
          <w:bCs w:val="0"/>
        </w:rPr>
        <w:t>国有资本经营预算财政拨款支出决算表</w:t>
      </w:r>
      <w:bookmarkEnd w:id="99"/>
    </w:p>
    <w:p>
      <w:pPr>
        <w:pStyle w:val="4"/>
        <w:rPr>
          <w:rFonts w:eastAsia="仿宋"/>
        </w:rPr>
      </w:pPr>
      <w:bookmarkStart w:id="100" w:name="_Toc15396631"/>
      <w:bookmarkStart w:id="101" w:name="_Toc3663"/>
      <w:r>
        <w:rPr>
          <w:rStyle w:val="30"/>
          <w:rFonts w:hint="eastAsia" w:ascii="仿宋" w:hAnsi="仿宋" w:eastAsia="仿宋"/>
          <w:b w:val="0"/>
          <w:bCs w:val="0"/>
        </w:rPr>
        <w:t>十三、</w:t>
      </w:r>
      <w:bookmarkEnd w:id="100"/>
      <w:r>
        <w:rPr>
          <w:rStyle w:val="30"/>
          <w:rFonts w:hint="eastAsia" w:ascii="仿宋" w:hAnsi="仿宋" w:eastAsia="仿宋"/>
          <w:b w:val="0"/>
          <w:bCs w:val="0"/>
        </w:rPr>
        <w:t>财政拨款“三公”经费支出决算表</w:t>
      </w:r>
      <w:bookmarkEnd w:id="101"/>
    </w:p>
    <w:sectPr>
      <w:footerReference r:id="rId5" w:type="first"/>
      <w:footerReference r:id="rId4" w:type="default"/>
      <w:pgSz w:w="11906" w:h="16838"/>
      <w:pgMar w:top="1440" w:right="1800" w:bottom="1440" w:left="1800" w:header="851" w:footer="992"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Mangal"/>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4916BB9"/>
    <w:multiLevelType w:val="singleLevel"/>
    <w:tmpl w:val="34916BB9"/>
    <w:lvl w:ilvl="0" w:tentative="0">
      <w:start w:val="1"/>
      <w:numFmt w:val="decimal"/>
      <w:lvlText w:val="%1."/>
      <w:lvlJc w:val="left"/>
      <w:pPr>
        <w:tabs>
          <w:tab w:val="left" w:pos="312"/>
        </w:tabs>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ZjZhOThhOGZiYzQwNWYwZTFhMmI3MTU3Nzg2Nj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4C1425"/>
    <w:rsid w:val="044C7C30"/>
    <w:rsid w:val="053A62B5"/>
    <w:rsid w:val="05B328C1"/>
    <w:rsid w:val="06283730"/>
    <w:rsid w:val="06A12AE0"/>
    <w:rsid w:val="07302DD5"/>
    <w:rsid w:val="07E53DB1"/>
    <w:rsid w:val="07F4764B"/>
    <w:rsid w:val="085D01E8"/>
    <w:rsid w:val="08671CF5"/>
    <w:rsid w:val="087A4E0E"/>
    <w:rsid w:val="08D3624E"/>
    <w:rsid w:val="0A2032A3"/>
    <w:rsid w:val="0ABF3031"/>
    <w:rsid w:val="0B8A37D8"/>
    <w:rsid w:val="0D3B70A0"/>
    <w:rsid w:val="0F5C5853"/>
    <w:rsid w:val="0F675D63"/>
    <w:rsid w:val="10C055FF"/>
    <w:rsid w:val="118107EC"/>
    <w:rsid w:val="11DD6519"/>
    <w:rsid w:val="12BC3211"/>
    <w:rsid w:val="140426E0"/>
    <w:rsid w:val="16BB723D"/>
    <w:rsid w:val="17F111AA"/>
    <w:rsid w:val="18015F3F"/>
    <w:rsid w:val="1A204935"/>
    <w:rsid w:val="1A5149DE"/>
    <w:rsid w:val="1AE006D2"/>
    <w:rsid w:val="1B8A054A"/>
    <w:rsid w:val="1BE8440E"/>
    <w:rsid w:val="1D155CEE"/>
    <w:rsid w:val="1DE877AA"/>
    <w:rsid w:val="1EE621DD"/>
    <w:rsid w:val="1F742D9F"/>
    <w:rsid w:val="20F57F95"/>
    <w:rsid w:val="240371BF"/>
    <w:rsid w:val="25711CC6"/>
    <w:rsid w:val="25C741E6"/>
    <w:rsid w:val="26A378E0"/>
    <w:rsid w:val="27842671"/>
    <w:rsid w:val="27AC7B69"/>
    <w:rsid w:val="28CD0E1E"/>
    <w:rsid w:val="29FD04D3"/>
    <w:rsid w:val="2ABE7A3E"/>
    <w:rsid w:val="2AD05911"/>
    <w:rsid w:val="2BC70640"/>
    <w:rsid w:val="2CA234A8"/>
    <w:rsid w:val="2E5A4FB7"/>
    <w:rsid w:val="2EB92A08"/>
    <w:rsid w:val="2EFA178C"/>
    <w:rsid w:val="2FAC623E"/>
    <w:rsid w:val="301D5049"/>
    <w:rsid w:val="30B46D73"/>
    <w:rsid w:val="319F7F4E"/>
    <w:rsid w:val="3365698E"/>
    <w:rsid w:val="342061B6"/>
    <w:rsid w:val="35867377"/>
    <w:rsid w:val="383D272C"/>
    <w:rsid w:val="383F0D48"/>
    <w:rsid w:val="39AE70AB"/>
    <w:rsid w:val="3C0C0783"/>
    <w:rsid w:val="3C251F4B"/>
    <w:rsid w:val="3F9F3A96"/>
    <w:rsid w:val="407F2034"/>
    <w:rsid w:val="40D653E4"/>
    <w:rsid w:val="43846983"/>
    <w:rsid w:val="43996300"/>
    <w:rsid w:val="45455302"/>
    <w:rsid w:val="4799057C"/>
    <w:rsid w:val="487E6CC5"/>
    <w:rsid w:val="48A04E07"/>
    <w:rsid w:val="48BF60AB"/>
    <w:rsid w:val="493C27E9"/>
    <w:rsid w:val="496F39ED"/>
    <w:rsid w:val="49F87F75"/>
    <w:rsid w:val="49FF41D3"/>
    <w:rsid w:val="4BE068DB"/>
    <w:rsid w:val="4BF6002B"/>
    <w:rsid w:val="4E1676C3"/>
    <w:rsid w:val="4E1F4D96"/>
    <w:rsid w:val="4ECE2238"/>
    <w:rsid w:val="4F017B5E"/>
    <w:rsid w:val="4F5F3CD5"/>
    <w:rsid w:val="51DB4B86"/>
    <w:rsid w:val="548711BE"/>
    <w:rsid w:val="54884BEA"/>
    <w:rsid w:val="55333C3E"/>
    <w:rsid w:val="557D01FC"/>
    <w:rsid w:val="55E0064D"/>
    <w:rsid w:val="5F4B3CE0"/>
    <w:rsid w:val="60291ECF"/>
    <w:rsid w:val="60292FDD"/>
    <w:rsid w:val="61A14931"/>
    <w:rsid w:val="61B17510"/>
    <w:rsid w:val="61B24685"/>
    <w:rsid w:val="61B754A5"/>
    <w:rsid w:val="61D90C62"/>
    <w:rsid w:val="627B4304"/>
    <w:rsid w:val="629C1F6E"/>
    <w:rsid w:val="649F3569"/>
    <w:rsid w:val="64CA39A1"/>
    <w:rsid w:val="64E853DA"/>
    <w:rsid w:val="65D304BB"/>
    <w:rsid w:val="69321463"/>
    <w:rsid w:val="69630ADE"/>
    <w:rsid w:val="6A6F3064"/>
    <w:rsid w:val="6B332796"/>
    <w:rsid w:val="6B48122A"/>
    <w:rsid w:val="6C4A05C8"/>
    <w:rsid w:val="6C767A5D"/>
    <w:rsid w:val="6D3B1A89"/>
    <w:rsid w:val="6D3F76B5"/>
    <w:rsid w:val="6D7C2E72"/>
    <w:rsid w:val="71BF4EC2"/>
    <w:rsid w:val="71F84583"/>
    <w:rsid w:val="72734D90"/>
    <w:rsid w:val="74094202"/>
    <w:rsid w:val="7412278C"/>
    <w:rsid w:val="743979FD"/>
    <w:rsid w:val="743C5BBA"/>
    <w:rsid w:val="75157242"/>
    <w:rsid w:val="758142C0"/>
    <w:rsid w:val="75C0277F"/>
    <w:rsid w:val="76FDEAC8"/>
    <w:rsid w:val="77B36711"/>
    <w:rsid w:val="79E7B28D"/>
    <w:rsid w:val="7A2D4EEA"/>
    <w:rsid w:val="7BB14AEB"/>
    <w:rsid w:val="7BDB59B6"/>
    <w:rsid w:val="7F5D74B8"/>
    <w:rsid w:val="7F9F20EE"/>
    <w:rsid w:val="7FB82B8D"/>
    <w:rsid w:val="7FFC7A63"/>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Lines="0" w:afterAutospacing="0"/>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99"/>
    <w:rPr>
      <w:rFonts w:ascii="宋体" w:hAnsi="Courier New" w:eastAsia="仿宋_GB2312" w:cs="Courier New"/>
      <w:b/>
      <w:sz w:val="32"/>
      <w:szCs w:val="21"/>
    </w:r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w:basedOn w:val="6"/>
    <w:qFormat/>
    <w:uiPriority w:val="0"/>
    <w:pPr>
      <w:ind w:firstLine="420" w:firstLineChars="100"/>
    </w:pPr>
  </w:style>
  <w:style w:type="paragraph" w:styleId="16">
    <w:name w:val="Body Text First Indent 2"/>
    <w:basedOn w:val="7"/>
    <w:next w:val="15"/>
    <w:qFormat/>
    <w:uiPriority w:val="0"/>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8"/>
    <w:link w:val="3"/>
    <w:qFormat/>
    <w:uiPriority w:val="9"/>
    <w:rPr>
      <w:rFonts w:ascii="Times New Roman" w:hAnsi="Times New Roman"/>
      <w:b/>
      <w:bCs/>
      <w:kern w:val="44"/>
      <w:sz w:val="44"/>
      <w:szCs w:val="44"/>
    </w:rPr>
  </w:style>
  <w:style w:type="character" w:customStyle="1" w:styleId="30">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8"/>
    <w:link w:val="10"/>
    <w:semiHidden/>
    <w:qFormat/>
    <w:uiPriority w:val="99"/>
    <w:rPr>
      <w:rFonts w:ascii="Times New Roman" w:hAnsi="Times New Roman"/>
      <w:kern w:val="2"/>
      <w:sz w:val="18"/>
      <w:szCs w:val="18"/>
    </w:rPr>
  </w:style>
  <w:style w:type="character" w:customStyle="1" w:styleId="33">
    <w:name w:val="标题 3 字符"/>
    <w:basedOn w:val="18"/>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dk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收入决算结构图</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财政拨款收入</c:v>
                </c:pt>
                <c:pt idx="1">
                  <c:v>事业收入</c:v>
                </c:pt>
                <c:pt idx="2">
                  <c:v>其他收入</c:v>
                </c:pt>
              </c:strCache>
            </c:strRef>
          </c:cat>
          <c:val>
            <c:numRef>
              <c:f>Sheet1!$B$2:$B$4</c:f>
              <c:numCache>
                <c:formatCode>0.00%</c:formatCode>
                <c:ptCount val="3"/>
                <c:pt idx="0">
                  <c:v>0.3204</c:v>
                </c:pt>
                <c:pt idx="1">
                  <c:v>0.6586</c:v>
                </c:pt>
                <c:pt idx="2">
                  <c:v>0.021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ayout>
        <c:manualLayout>
          <c:xMode val="edge"/>
          <c:yMode val="edge"/>
          <c:x val="0.814846945098525"/>
          <c:y val="0.288194444444444"/>
          <c:w val="0.170281323584087"/>
          <c:h val="0.461309523809524"/>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dk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支出决算结构图</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0.9639</c:v>
                </c:pt>
                <c:pt idx="1">
                  <c:v>0.0361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ayout>
        <c:manualLayout>
          <c:xMode val="edge"/>
          <c:yMode val="edge"/>
          <c:x val="0.863010388982846"/>
          <c:y val="0.382065448363791"/>
          <c:w val="0.122493355883064"/>
          <c:h val="0.224181895452614"/>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dk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一般公共预算财政拨款支出决算结构</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Lbls>
            <c:dLbl>
              <c:idx val="0"/>
              <c:layout>
                <c:manualLayout>
                  <c:x val="-0.00538117272236561"/>
                  <c:y val="-0.23355573139632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645657338702673"/>
                  <c:y val="0.018321583058448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00724957384621982"/>
                  <c:y val="-0.037379439250541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30522640038394"/>
                  <c:y val="0.010367894708007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卫生健康支出</c:v>
                </c:pt>
                <c:pt idx="1">
                  <c:v>社会保障和就业支出</c:v>
                </c:pt>
                <c:pt idx="2">
                  <c:v>住房保障支出</c:v>
                </c:pt>
                <c:pt idx="3">
                  <c:v>农林水支出</c:v>
                </c:pt>
              </c:strCache>
            </c:strRef>
          </c:cat>
          <c:val>
            <c:numRef>
              <c:f>Sheet1!$B$2:$B$5</c:f>
              <c:numCache>
                <c:formatCode>0.00%</c:formatCode>
                <c:ptCount val="4"/>
                <c:pt idx="0">
                  <c:v>0.9096</c:v>
                </c:pt>
                <c:pt idx="1">
                  <c:v>0.0724</c:v>
                </c:pt>
                <c:pt idx="2">
                  <c:v>0.0162</c:v>
                </c:pt>
                <c:pt idx="3">
                  <c:v>0.0018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ayout>
        <c:manualLayout>
          <c:xMode val="edge"/>
          <c:yMode val="edge"/>
          <c:x val="0.754288475477168"/>
          <c:y val="0.296642583935402"/>
          <c:w val="0.231215269388741"/>
          <c:h val="0.36804079898002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2</TotalTime>
  <ScaleCrop>false</ScaleCrop>
  <LinksUpToDate>false</LinksUpToDate>
  <CharactersWithSpaces>5889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2023-11-22T16:35:37Z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567B13B7391E4359907428650FAFB374_12</vt:lpwstr>
  </property>
</Properties>
</file>