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4477"/>
      <w:bookmarkStart w:id="2" w:name="_Toc15378441"/>
      <w:bookmarkStart w:id="3" w:name="_Toc15377425"/>
      <w:bookmarkStart w:id="4" w:name="_Toc15396475"/>
      <w:bookmarkStart w:id="5" w:name="_Toc15377193"/>
      <w:bookmarkStart w:id="6"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78442"/>
      <w:bookmarkStart w:id="9" w:name="_Toc15396598"/>
      <w:bookmarkStart w:id="10" w:name="_Toc15377194"/>
      <w:bookmarkStart w:id="11" w:name="_Toc20162"/>
      <w:bookmarkStart w:id="12" w:name="_Toc15396476"/>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rPr>
        <w:t>公兴镇中心卫生院单位决算</w:t>
      </w:r>
      <w:bookmarkEnd w:id="7"/>
      <w:bookmarkEnd w:id="8"/>
      <w:bookmarkEnd w:id="9"/>
      <w:bookmarkEnd w:id="10"/>
      <w:bookmarkEnd w:id="11"/>
      <w:bookmarkEnd w:id="12"/>
      <w:bookmarkEnd w:id="13"/>
    </w:p>
    <w:p>
      <w:pPr>
        <w:widowControl/>
        <w:jc w:val="center"/>
        <w:rPr>
          <w:rFonts w:ascii="黑体" w:hAnsi="黑体" w:eastAsia="黑体"/>
          <w:sz w:val="48"/>
          <w:szCs w:val="48"/>
        </w:rPr>
        <w:sectPr>
          <w:headerReference r:id="rId3"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公开时间：2023年10月2</w:t>
      </w:r>
      <w:r>
        <w:rPr>
          <w:rFonts w:hint="eastAsia"/>
          <w:lang w:val="en-US" w:eastAsia="zh-CN"/>
        </w:rPr>
        <w:t>9</w:t>
      </w:r>
      <w:bookmarkStart w:id="111" w:name="_GoBack"/>
      <w:bookmarkEnd w:id="111"/>
      <w:r>
        <w:rPr>
          <w:rFonts w:hint="eastAsia"/>
        </w:rPr>
        <w:t>日</w:t>
      </w:r>
      <w:r>
        <w:fldChar w:fldCharType="begin"/>
      </w:r>
      <w:r>
        <w:instrText xml:space="preserve">TOC \o "1-9" \h \u </w:instrText>
      </w:r>
      <w:r>
        <w:fldChar w:fldCharType="separate"/>
      </w:r>
    </w:p>
    <w:p>
      <w:pPr>
        <w:pStyle w:val="10"/>
        <w:tabs>
          <w:tab w:val="right" w:leader="dot" w:pos="8306"/>
          <w:tab w:val="clear" w:pos="8296"/>
        </w:tabs>
      </w:pPr>
      <w:r>
        <w:fldChar w:fldCharType="begin"/>
      </w:r>
      <w:r>
        <w:instrText xml:space="preserve"> HYPERLINK \l "_Toc18530" </w:instrText>
      </w:r>
      <w:r>
        <w:fldChar w:fldCharType="separate"/>
      </w:r>
      <w:r>
        <w:rPr>
          <w:rFonts w:hint="eastAsia" w:ascii="黑体" w:hAnsi="黑体" w:eastAsia="黑体"/>
        </w:rPr>
        <w:t>第一部分 单位概况</w:t>
      </w:r>
      <w:r>
        <w:tab/>
      </w:r>
      <w:r>
        <w:fldChar w:fldCharType="begin"/>
      </w:r>
      <w:r>
        <w:instrText xml:space="preserve"> PAGEREF _Toc18530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"_Toc17034" </w:instrText>
      </w:r>
      <w:r>
        <w:fldChar w:fldCharType="separate"/>
      </w:r>
      <w:r>
        <w:rPr>
          <w:rFonts w:hint="eastAsia" w:ascii="黑体" w:hAnsi="黑体" w:eastAsia="黑体"/>
        </w:rPr>
        <w:t>一、 主要职责</w:t>
      </w:r>
      <w:r>
        <w:tab/>
      </w:r>
      <w:r>
        <w:fldChar w:fldCharType="begin"/>
      </w:r>
      <w:r>
        <w:instrText xml:space="preserve"> PAGEREF _Toc17034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"_Toc25405" </w:instrText>
      </w:r>
      <w:r>
        <w:fldChar w:fldCharType="separate"/>
      </w:r>
      <w:r>
        <w:rPr>
          <w:rFonts w:hint="eastAsia" w:ascii="黑体" w:hAnsi="黑体" w:eastAsia="黑体"/>
        </w:rPr>
        <w:t>二、机构设置</w:t>
      </w:r>
      <w:r>
        <w:tab/>
      </w:r>
      <w:r>
        <w:fldChar w:fldCharType="begin"/>
      </w:r>
      <w:r>
        <w:instrText xml:space="preserve"> PAGEREF _Toc25405 </w:instrText>
      </w:r>
      <w:r>
        <w:fldChar w:fldCharType="separate"/>
      </w:r>
      <w:r>
        <w:t>1</w:t>
      </w:r>
      <w:r>
        <w:fldChar w:fldCharType="end"/>
      </w:r>
      <w:r>
        <w:fldChar w:fldCharType="end"/>
      </w:r>
    </w:p>
    <w:p>
      <w:pPr>
        <w:pStyle w:val="10"/>
        <w:tabs>
          <w:tab w:val="right" w:leader="dot" w:pos="8306"/>
          <w:tab w:val="clear" w:pos="8296"/>
        </w:tabs>
      </w:pPr>
      <w:r>
        <w:fldChar w:fldCharType="begin"/>
      </w:r>
      <w:r>
        <w:instrText xml:space="preserve"> HYPERLINK \l "_Toc16975"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_Toc16975 </w:instrText>
      </w:r>
      <w:r>
        <w:fldChar w:fldCharType="separate"/>
      </w:r>
      <w:r>
        <w:t>2</w:t>
      </w:r>
      <w:r>
        <w:fldChar w:fldCharType="end"/>
      </w:r>
      <w:r>
        <w:fldChar w:fldCharType="end"/>
      </w:r>
    </w:p>
    <w:p>
      <w:pPr>
        <w:pStyle w:val="11"/>
        <w:tabs>
          <w:tab w:val="right" w:leader="dot" w:pos="8306"/>
          <w:tab w:val="clear" w:pos="8296"/>
        </w:tabs>
      </w:pPr>
      <w:r>
        <w:fldChar w:fldCharType="begin"/>
      </w:r>
      <w:r>
        <w:instrText xml:space="preserve"> HYPERLINK \l "_Toc21893"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_Toc21893 </w:instrText>
      </w:r>
      <w:r>
        <w:fldChar w:fldCharType="separate"/>
      </w:r>
      <w:r>
        <w:t>2</w:t>
      </w:r>
      <w:r>
        <w:fldChar w:fldCharType="end"/>
      </w:r>
      <w:r>
        <w:fldChar w:fldCharType="end"/>
      </w:r>
    </w:p>
    <w:p>
      <w:pPr>
        <w:pStyle w:val="11"/>
        <w:tabs>
          <w:tab w:val="right" w:leader="dot" w:pos="8306"/>
          <w:tab w:val="clear" w:pos="8296"/>
        </w:tabs>
      </w:pPr>
      <w:r>
        <w:fldChar w:fldCharType="begin"/>
      </w:r>
      <w:r>
        <w:instrText xml:space="preserve"> HYPERLINK \l "_Toc28369"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_Toc28369 </w:instrText>
      </w:r>
      <w:r>
        <w:fldChar w:fldCharType="separate"/>
      </w:r>
      <w:r>
        <w:t>2</w:t>
      </w:r>
      <w:r>
        <w:fldChar w:fldCharType="end"/>
      </w:r>
      <w:r>
        <w:fldChar w:fldCharType="end"/>
      </w:r>
    </w:p>
    <w:p>
      <w:pPr>
        <w:pStyle w:val="11"/>
        <w:tabs>
          <w:tab w:val="right" w:leader="dot" w:pos="8306"/>
          <w:tab w:val="clear" w:pos="8296"/>
        </w:tabs>
      </w:pPr>
      <w:r>
        <w:fldChar w:fldCharType="begin"/>
      </w:r>
      <w:r>
        <w:instrText xml:space="preserve"> HYPERLINK \l "_Toc11881"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_Toc11881 </w:instrText>
      </w:r>
      <w:r>
        <w:fldChar w:fldCharType="separate"/>
      </w:r>
      <w:r>
        <w:t>2</w:t>
      </w:r>
      <w:r>
        <w:fldChar w:fldCharType="end"/>
      </w:r>
      <w:r>
        <w:fldChar w:fldCharType="end"/>
      </w:r>
    </w:p>
    <w:p>
      <w:pPr>
        <w:pStyle w:val="11"/>
        <w:tabs>
          <w:tab w:val="right" w:leader="dot" w:pos="8306"/>
          <w:tab w:val="clear" w:pos="8296"/>
        </w:tabs>
      </w:pPr>
      <w:r>
        <w:fldChar w:fldCharType="begin"/>
      </w:r>
      <w:r>
        <w:instrText xml:space="preserve"> HYPERLINK \l "_Toc3594"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_Toc3594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"_Toc8493"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_Toc8493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"_Toc6777"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_Toc6777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"_Toc2354"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_Toc2354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"_Toc3604"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_Toc3604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"_Toc9490" </w:instrText>
      </w:r>
      <w:r>
        <w:fldChar w:fldCharType="separate"/>
      </w:r>
      <w:r>
        <w:rPr>
          <w:rFonts w:hint="eastAsia" w:ascii="黑体" w:hAnsi="黑体" w:eastAsia="黑体"/>
        </w:rPr>
        <w:t>九、 国有资本经营预算支出决算情况说明</w:t>
      </w:r>
      <w:r>
        <w:tab/>
      </w:r>
      <w:r>
        <w:fldChar w:fldCharType="begin"/>
      </w:r>
      <w:r>
        <w:instrText xml:space="preserve"> PAGEREF _Toc9490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"_Toc10403" </w:instrText>
      </w:r>
      <w:r>
        <w:fldChar w:fldCharType="separate"/>
      </w:r>
      <w:r>
        <w:rPr>
          <w:rFonts w:hint="eastAsia" w:ascii="黑体" w:hAnsi="黑体" w:eastAsia="黑体"/>
        </w:rPr>
        <w:t>十、 其他重要事项的情况说明</w:t>
      </w:r>
      <w:r>
        <w:tab/>
      </w:r>
      <w:r>
        <w:fldChar w:fldCharType="begin"/>
      </w:r>
      <w:r>
        <w:instrText xml:space="preserve"> PAGEREF _Toc10403 </w:instrText>
      </w:r>
      <w:r>
        <w:fldChar w:fldCharType="separate"/>
      </w:r>
      <w:r>
        <w:t>7</w:t>
      </w:r>
      <w:r>
        <w:fldChar w:fldCharType="end"/>
      </w:r>
      <w:r>
        <w:fldChar w:fldCharType="end"/>
      </w:r>
    </w:p>
    <w:p>
      <w:pPr>
        <w:pStyle w:val="10"/>
        <w:tabs>
          <w:tab w:val="right" w:leader="dot" w:pos="8306"/>
          <w:tab w:val="clear" w:pos="8296"/>
        </w:tabs>
      </w:pPr>
      <w:r>
        <w:fldChar w:fldCharType="begin"/>
      </w:r>
      <w:r>
        <w:instrText xml:space="preserve"> HYPERLINK \l "_Toc15012"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_Toc15012 </w:instrText>
      </w:r>
      <w:r>
        <w:fldChar w:fldCharType="separate"/>
      </w:r>
      <w:r>
        <w:t>9</w:t>
      </w:r>
      <w:r>
        <w:fldChar w:fldCharType="end"/>
      </w:r>
      <w:r>
        <w:fldChar w:fldCharType="end"/>
      </w:r>
    </w:p>
    <w:p>
      <w:pPr>
        <w:pStyle w:val="10"/>
        <w:tabs>
          <w:tab w:val="right" w:leader="dot" w:pos="8306"/>
          <w:tab w:val="clear" w:pos="8296"/>
        </w:tabs>
      </w:pPr>
      <w:r>
        <w:fldChar w:fldCharType="begin"/>
      </w:r>
      <w:r>
        <w:instrText xml:space="preserve"> HYPERLINK \l "_Toc3018"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_Toc3018 </w:instrText>
      </w:r>
      <w:r>
        <w:fldChar w:fldCharType="separate"/>
      </w:r>
      <w:r>
        <w:t>11</w:t>
      </w:r>
      <w:r>
        <w:fldChar w:fldCharType="end"/>
      </w:r>
      <w:r>
        <w:fldChar w:fldCharType="end"/>
      </w:r>
    </w:p>
    <w:p>
      <w:pPr>
        <w:pStyle w:val="10"/>
        <w:tabs>
          <w:tab w:val="right" w:leader="dot" w:pos="8306"/>
          <w:tab w:val="clear" w:pos="8296"/>
        </w:tabs>
      </w:pPr>
      <w:r>
        <w:fldChar w:fldCharType="begin"/>
      </w:r>
      <w:r>
        <w:instrText xml:space="preserve"> HYPERLINK \l "_Toc32559"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_Toc32559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"_Toc732" </w:instrText>
      </w:r>
      <w:r>
        <w:fldChar w:fldCharType="separate"/>
      </w:r>
      <w:r>
        <w:rPr>
          <w:rFonts w:hint="eastAsia" w:ascii="仿宋" w:hAnsi="仿宋" w:eastAsia="仿宋"/>
        </w:rPr>
        <w:t>一、收入支出决算总表</w:t>
      </w:r>
      <w:r>
        <w:tab/>
      </w:r>
      <w:r>
        <w:fldChar w:fldCharType="begin"/>
      </w:r>
      <w:r>
        <w:instrText xml:space="preserve"> PAGEREF _Toc732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"_Toc30238" </w:instrText>
      </w:r>
      <w:r>
        <w:fldChar w:fldCharType="separate"/>
      </w:r>
      <w:r>
        <w:rPr>
          <w:rFonts w:hint="eastAsia" w:ascii="仿宋" w:hAnsi="仿宋" w:eastAsia="仿宋"/>
        </w:rPr>
        <w:t>二、收入决算表</w:t>
      </w:r>
      <w:r>
        <w:tab/>
      </w:r>
      <w:r>
        <w:fldChar w:fldCharType="begin"/>
      </w:r>
      <w:r>
        <w:instrText xml:space="preserve"> PAGEREF _Toc30238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"_Toc2090" </w:instrText>
      </w:r>
      <w:r>
        <w:fldChar w:fldCharType="separate"/>
      </w:r>
      <w:r>
        <w:rPr>
          <w:rFonts w:hint="eastAsia" w:ascii="仿宋" w:hAnsi="仿宋" w:eastAsia="仿宋"/>
        </w:rPr>
        <w:t>三、支出决算表</w:t>
      </w:r>
      <w:r>
        <w:tab/>
      </w:r>
      <w:r>
        <w:fldChar w:fldCharType="begin"/>
      </w:r>
      <w:r>
        <w:instrText xml:space="preserve"> PAGEREF _Toc2090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"_Toc6782" </w:instrText>
      </w:r>
      <w:r>
        <w:fldChar w:fldCharType="separate"/>
      </w:r>
      <w:r>
        <w:rPr>
          <w:rFonts w:hint="eastAsia" w:ascii="仿宋" w:hAnsi="仿宋" w:eastAsia="仿宋"/>
        </w:rPr>
        <w:t>四、财政拨款收入支出决算总表</w:t>
      </w:r>
      <w:r>
        <w:tab/>
      </w:r>
      <w:r>
        <w:fldChar w:fldCharType="begin"/>
      </w:r>
      <w:r>
        <w:instrText xml:space="preserve"> PAGEREF _Toc6782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"_Toc9798" </w:instrText>
      </w:r>
      <w:r>
        <w:fldChar w:fldCharType="separate"/>
      </w:r>
      <w:r>
        <w:rPr>
          <w:rFonts w:hint="eastAsia" w:ascii="仿宋" w:hAnsi="仿宋" w:eastAsia="仿宋"/>
        </w:rPr>
        <w:t>五、财政拨款支出决算明细表</w:t>
      </w:r>
      <w:r>
        <w:tab/>
      </w:r>
      <w:r>
        <w:fldChar w:fldCharType="begin"/>
      </w:r>
      <w:r>
        <w:instrText xml:space="preserve"> PAGEREF _Toc9798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"_Toc9748" </w:instrText>
      </w:r>
      <w:r>
        <w:fldChar w:fldCharType="separate"/>
      </w:r>
      <w:r>
        <w:rPr>
          <w:rFonts w:hint="eastAsia" w:ascii="仿宋" w:hAnsi="仿宋" w:eastAsia="仿宋"/>
        </w:rPr>
        <w:t>六、一般公共预算财政拨款支出决算表</w:t>
      </w:r>
      <w:r>
        <w:tab/>
      </w:r>
      <w:r>
        <w:fldChar w:fldCharType="begin"/>
      </w:r>
      <w:r>
        <w:instrText xml:space="preserve"> PAGEREF _Toc9748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"_Toc15087" </w:instrText>
      </w:r>
      <w:r>
        <w:fldChar w:fldCharType="separate"/>
      </w:r>
      <w:r>
        <w:rPr>
          <w:rFonts w:hint="eastAsia" w:ascii="仿宋" w:hAnsi="仿宋" w:eastAsia="仿宋"/>
        </w:rPr>
        <w:t>七、一般公共预算财政拨款支出决算明细表</w:t>
      </w:r>
      <w:r>
        <w:tab/>
      </w:r>
      <w:r>
        <w:fldChar w:fldCharType="begin"/>
      </w:r>
      <w:r>
        <w:instrText xml:space="preserve"> PAGEREF _Toc15087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"_Toc1662" </w:instrText>
      </w:r>
      <w:r>
        <w:fldChar w:fldCharType="separate"/>
      </w:r>
      <w:r>
        <w:rPr>
          <w:rFonts w:hint="eastAsia" w:ascii="仿宋" w:hAnsi="仿宋" w:eastAsia="仿宋"/>
        </w:rPr>
        <w:t>八、一般公共预算财政拨款基本支出决算表</w:t>
      </w:r>
      <w:r>
        <w:tab/>
      </w:r>
      <w:r>
        <w:fldChar w:fldCharType="begin"/>
      </w:r>
      <w:r>
        <w:instrText xml:space="preserve"> PAGEREF _Toc1662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"_Toc28828" </w:instrText>
      </w:r>
      <w:r>
        <w:fldChar w:fldCharType="separate"/>
      </w:r>
      <w:r>
        <w:rPr>
          <w:rFonts w:hint="eastAsia" w:ascii="仿宋" w:hAnsi="仿宋" w:eastAsia="仿宋"/>
        </w:rPr>
        <w:t>九、一般公共预算财政拨款项目支出决算表</w:t>
      </w:r>
      <w:r>
        <w:tab/>
      </w:r>
      <w:r>
        <w:fldChar w:fldCharType="begin"/>
      </w:r>
      <w:r>
        <w:instrText xml:space="preserve"> PAGEREF _Toc28828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"_Toc19020" </w:instrText>
      </w:r>
      <w:r>
        <w:fldChar w:fldCharType="separate"/>
      </w:r>
      <w:r>
        <w:rPr>
          <w:rFonts w:hint="eastAsia" w:ascii="仿宋" w:hAnsi="仿宋" w:eastAsia="仿宋"/>
        </w:rPr>
        <w:t>十、政府性基金预算财政拨款收入支出决算表</w:t>
      </w:r>
      <w:r>
        <w:tab/>
      </w:r>
      <w:r>
        <w:fldChar w:fldCharType="begin"/>
      </w:r>
      <w:r>
        <w:instrText xml:space="preserve"> PAGEREF _Toc19020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"_Toc14799" </w:instrText>
      </w:r>
      <w:r>
        <w:fldChar w:fldCharType="separate"/>
      </w:r>
      <w:r>
        <w:rPr>
          <w:rFonts w:hint="eastAsia" w:ascii="仿宋" w:hAnsi="仿宋" w:eastAsia="仿宋"/>
        </w:rPr>
        <w:t>十一、国有资本经营预算财政拨款收入支出决算表</w:t>
      </w:r>
      <w:r>
        <w:tab/>
      </w:r>
      <w:r>
        <w:fldChar w:fldCharType="begin"/>
      </w:r>
      <w:r>
        <w:instrText xml:space="preserve"> PAGEREF _Toc14799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"_Toc26491" </w:instrText>
      </w:r>
      <w:r>
        <w:fldChar w:fldCharType="separate"/>
      </w:r>
      <w:r>
        <w:rPr>
          <w:rFonts w:hint="eastAsia" w:ascii="仿宋" w:hAnsi="仿宋" w:eastAsia="仿宋"/>
        </w:rPr>
        <w:t>十二、国有资本经营预算财政拨款支出决算表</w:t>
      </w:r>
      <w:r>
        <w:tab/>
      </w:r>
      <w:r>
        <w:fldChar w:fldCharType="begin"/>
      </w:r>
      <w:r>
        <w:instrText xml:space="preserve"> PAGEREF _Toc26491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"_Toc21514" </w:instrText>
      </w:r>
      <w:r>
        <w:fldChar w:fldCharType="separate"/>
      </w:r>
      <w:r>
        <w:rPr>
          <w:rFonts w:hint="eastAsia" w:ascii="仿宋" w:hAnsi="仿宋" w:eastAsia="仿宋"/>
        </w:rPr>
        <w:t>十三、财政拨款“三公”经费支出决算表</w:t>
      </w:r>
      <w:r>
        <w:tab/>
      </w:r>
      <w:r>
        <w:fldChar w:fldCharType="begin"/>
      </w:r>
      <w:r>
        <w:instrText xml:space="preserve"> PAGEREF _Toc21514 </w:instrText>
      </w:r>
      <w:r>
        <w:fldChar w:fldCharType="separate"/>
      </w:r>
      <w:r>
        <w:t>16</w:t>
      </w:r>
      <w:r>
        <w:fldChar w:fldCharType="end"/>
      </w:r>
      <w:r>
        <w:fldChar w:fldCharType="end"/>
      </w:r>
    </w:p>
    <w:p>
      <w:r>
        <w:fldChar w:fldCharType="end"/>
      </w:r>
    </w:p>
    <w:p>
      <w:pPr>
        <w:pStyle w:val="3"/>
        <w:jc w:val="center"/>
        <w:rPr>
          <w:rFonts w:ascii="黑体" w:hAnsi="黑体" w:eastAsia="黑体"/>
          <w:b w:val="0"/>
        </w:rPr>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pPr>
      <w:bookmarkStart w:id="14" w:name="_Toc15396599"/>
      <w:bookmarkStart w:id="15" w:name="_Toc15377196"/>
      <w:bookmarkStart w:id="16" w:name="_Toc18530"/>
    </w:p>
    <w:p>
      <w:pPr>
        <w:pStyle w:val="3"/>
        <w:jc w:val="center"/>
        <w:rPr>
          <w:rFonts w:ascii="黑体" w:eastAsia="黑体"/>
          <w:sz w:val="32"/>
          <w:szCs w:val="32"/>
        </w:rPr>
      </w:pPr>
      <w:r>
        <w:rPr>
          <w:rFonts w:hint="eastAsia" w:ascii="黑体" w:hAnsi="黑体" w:eastAsia="黑体"/>
          <w:b w:val="0"/>
        </w:rPr>
        <w:t>第一部分 单位</w:t>
      </w:r>
      <w:r>
        <w:rPr>
          <w:rStyle w:val="24"/>
          <w:rFonts w:hint="eastAsia" w:ascii="黑体" w:hAnsi="黑体" w:eastAsia="黑体"/>
          <w:b w:val="0"/>
          <w:bCs w:val="0"/>
        </w:rPr>
        <w:t>概况</w:t>
      </w:r>
      <w:bookmarkEnd w:id="14"/>
      <w:bookmarkEnd w:id="15"/>
      <w:bookmarkEnd w:id="16"/>
    </w:p>
    <w:p>
      <w:pPr>
        <w:pStyle w:val="4"/>
        <w:numPr>
          <w:ilvl w:val="0"/>
          <w:numId w:val="1"/>
        </w:numPr>
        <w:rPr>
          <w:rStyle w:val="25"/>
          <w:rFonts w:ascii="黑体" w:hAnsi="黑体" w:eastAsia="黑体"/>
          <w:b w:val="0"/>
          <w:bCs w:val="0"/>
        </w:rPr>
      </w:pPr>
      <w:bookmarkStart w:id="17" w:name="_Toc17034"/>
      <w:bookmarkStart w:id="18" w:name="_Toc15377197"/>
      <w:bookmarkStart w:id="19" w:name="_Toc15396600"/>
      <w:r>
        <w:rPr>
          <w:rStyle w:val="25"/>
          <w:rFonts w:hint="eastAsia" w:ascii="黑体" w:hAnsi="黑体" w:eastAsia="黑体"/>
          <w:b w:val="0"/>
          <w:bCs w:val="0"/>
        </w:rPr>
        <w:t>主要职责</w:t>
      </w:r>
      <w:bookmarkEnd w:id="17"/>
    </w:p>
    <w:p>
      <w:pPr>
        <w:pStyle w:val="11"/>
        <w:adjustRightInd w:val="0"/>
        <w:snapToGrid w:val="0"/>
        <w:spacing w:line="440" w:lineRule="exact"/>
        <w:ind w:left="0" w:leftChars="0"/>
        <w:jc w:val="left"/>
        <w:rPr>
          <w:rFonts w:ascii="仿宋" w:hAnsi="仿宋" w:eastAsia="仿宋" w:cs="仿宋"/>
          <w:b/>
          <w:bCs/>
          <w:sz w:val="32"/>
          <w:szCs w:val="32"/>
        </w:rPr>
      </w:pPr>
      <w:r>
        <w:rPr>
          <w:rFonts w:hint="eastAsia" w:ascii="仿宋" w:hAnsi="仿宋" w:eastAsia="仿宋" w:cs="仿宋"/>
          <w:b/>
          <w:bCs/>
          <w:sz w:val="32"/>
          <w:szCs w:val="32"/>
        </w:rPr>
        <w:t>（一）单位职责</w:t>
      </w:r>
    </w:p>
    <w:p>
      <w:pPr>
        <w:snapToGrid w:val="0"/>
        <w:spacing w:line="520" w:lineRule="exact"/>
        <w:ind w:firstLine="640" w:firstLineChars="200"/>
      </w:pPr>
      <w:r>
        <w:rPr>
          <w:rFonts w:hint="eastAsia" w:ascii="仿宋_GB2312" w:hAnsi="仿宋" w:eastAsia="仿宋_GB2312"/>
          <w:sz w:val="32"/>
          <w:szCs w:val="32"/>
        </w:rPr>
        <w:t>1、负责本镇的卫生工作法律、法规、政策的贯彻，卫生事业发展规划和工作计划的制定，社会公共卫生工作的组织和实施；2、负责本镇的基本医疗服务；3、负责本镇突发公共卫生事件的报告，并依据上级部门要求组织实施处置；4、负责本镇辖区内的卫生信息统计、分析、上报；5、负责对本镇辖区内村卫生室和乡村医生的业务指导和培训。</w:t>
      </w:r>
    </w:p>
    <w:p>
      <w:pPr>
        <w:pStyle w:val="11"/>
        <w:adjustRightInd w:val="0"/>
        <w:snapToGrid w:val="0"/>
        <w:spacing w:line="440" w:lineRule="exact"/>
        <w:ind w:left="0" w:leftChars="0"/>
        <w:jc w:val="left"/>
        <w:rPr>
          <w:rFonts w:ascii="仿宋" w:hAnsi="仿宋" w:eastAsia="仿宋" w:cs="仿宋"/>
          <w:b/>
          <w:bCs/>
          <w:sz w:val="32"/>
          <w:szCs w:val="32"/>
        </w:rPr>
      </w:pPr>
      <w:r>
        <w:rPr>
          <w:rFonts w:hint="eastAsia" w:ascii="仿宋" w:hAnsi="仿宋" w:eastAsia="仿宋" w:cs="仿宋"/>
          <w:b/>
          <w:bCs/>
          <w:sz w:val="32"/>
          <w:szCs w:val="32"/>
        </w:rPr>
        <w:t>（二）2022年重点工作完成情况</w:t>
      </w:r>
    </w:p>
    <w:p>
      <w:pPr>
        <w:snapToGrid w:val="0"/>
        <w:spacing w:line="520" w:lineRule="exact"/>
        <w:ind w:firstLine="640" w:firstLineChars="200"/>
      </w:pPr>
      <w:r>
        <w:rPr>
          <w:rFonts w:hint="eastAsia" w:ascii="仿宋_GB2312" w:hAnsi="仿宋" w:eastAsia="仿宋_GB2312"/>
          <w:sz w:val="32"/>
          <w:szCs w:val="32"/>
        </w:rPr>
        <w:t>2022年共完成业务总收入1172.51万元，其中医疗收入1172.5万元，占总收入的99.99%；其中药品收入402.3万元，疫苗收入66.25万元，中草药收入38.11万元，卫生材料收入42.22万元，占总收入的34.31%；与去年同期相比，医疗收入增长229.41万元。完成门急诊病人6.52万人次，与去年同期相比增加了19009人次，出院病人2975人次，与去年同期相比增加了638人次。</w:t>
      </w:r>
    </w:p>
    <w:p>
      <w:pPr>
        <w:pStyle w:val="4"/>
        <w:rPr>
          <w:rFonts w:ascii="黑体" w:hAnsi="黑体" w:eastAsia="黑体"/>
          <w:b w:val="0"/>
        </w:rPr>
      </w:pPr>
      <w:bookmarkStart w:id="20" w:name="_Toc25405"/>
      <w:r>
        <w:rPr>
          <w:rFonts w:hint="eastAsia" w:ascii="黑体" w:hAnsi="黑体" w:eastAsia="黑体"/>
          <w:b w:val="0"/>
        </w:rPr>
        <w:t>二、机构设置</w:t>
      </w:r>
      <w:bookmarkEnd w:id="20"/>
    </w:p>
    <w:bookmarkEnd w:id="18"/>
    <w:bookmarkEnd w:id="19"/>
    <w:p>
      <w:pPr>
        <w:snapToGrid w:val="0"/>
        <w:spacing w:line="520" w:lineRule="exact"/>
        <w:ind w:firstLine="640" w:firstLineChars="200"/>
        <w:rPr>
          <w:rFonts w:ascii="仿宋" w:hAnsi="仿宋" w:eastAsia="仿宋"/>
          <w:kern w:val="0"/>
          <w:sz w:val="32"/>
          <w:szCs w:val="32"/>
        </w:rPr>
      </w:pPr>
      <w:r>
        <w:rPr>
          <w:rFonts w:hint="eastAsia" w:ascii="仿宋_GB2312" w:hAnsi="仿宋" w:eastAsia="仿宋_GB2312"/>
          <w:sz w:val="32"/>
          <w:szCs w:val="32"/>
        </w:rPr>
        <w:t>剑阁县公兴镇中心卫生院部门决算为一级核算单位。下设公卫科、医保科、检验科、财务科、放射科、理疗科等科室。</w:t>
      </w:r>
      <w:r>
        <w:rPr>
          <w:rFonts w:ascii="仿宋" w:hAnsi="仿宋" w:eastAsia="仿宋"/>
          <w:sz w:val="32"/>
          <w:szCs w:val="32"/>
        </w:rPr>
        <w:br w:type="page"/>
      </w:r>
    </w:p>
    <w:p>
      <w:pPr>
        <w:pStyle w:val="3"/>
        <w:ind w:right="440"/>
        <w:jc w:val="center"/>
      </w:pPr>
      <w:bookmarkStart w:id="21" w:name="_Toc15377204"/>
      <w:bookmarkStart w:id="22" w:name="_Toc16975"/>
      <w:bookmarkStart w:id="23"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21"/>
      <w:bookmarkEnd w:id="22"/>
      <w:bookmarkEnd w:id="23"/>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21893"/>
      <w:bookmarkStart w:id="26"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4"/>
      <w:bookmarkEnd w:id="25"/>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2022年度收、支总计1865.8万元。</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p>
    <w:p>
      <w:pPr>
        <w:pStyle w:val="23"/>
        <w:numPr>
          <w:ilvl w:val="0"/>
          <w:numId w:val="2"/>
        </w:numPr>
        <w:spacing w:line="600" w:lineRule="exact"/>
        <w:ind w:firstLineChars="0"/>
        <w:outlineLvl w:val="1"/>
        <w:rPr>
          <w:rStyle w:val="25"/>
          <w:rFonts w:ascii="黑体" w:hAnsi="黑体" w:eastAsia="黑体"/>
          <w:b w:val="0"/>
        </w:rPr>
      </w:pPr>
      <w:bookmarkStart w:id="27" w:name="_Toc15396604"/>
      <w:bookmarkStart w:id="28" w:name="_Toc15377206"/>
      <w:bookmarkStart w:id="29" w:name="_Toc28369"/>
      <w:r>
        <w:rPr>
          <w:rFonts w:hint="eastAsia" w:ascii="黑体" w:hAnsi="黑体" w:eastAsia="黑体"/>
          <w:sz w:val="32"/>
          <w:szCs w:val="32"/>
        </w:rPr>
        <w:t>收</w:t>
      </w:r>
      <w:r>
        <w:rPr>
          <w:rStyle w:val="25"/>
          <w:rFonts w:hint="eastAsia" w:ascii="黑体" w:hAnsi="黑体" w:eastAsia="黑体"/>
          <w:b w:val="0"/>
        </w:rPr>
        <w:t>入决算情况说明</w:t>
      </w:r>
      <w:bookmarkEnd w:id="27"/>
      <w:bookmarkEnd w:id="28"/>
      <w:bookmarkEnd w:id="29"/>
    </w:p>
    <w:p>
      <w:pPr>
        <w:spacing w:line="600" w:lineRule="exact"/>
        <w:ind w:firstLine="640" w:firstLineChars="200"/>
        <w:outlineLvl w:val="1"/>
        <w:rPr>
          <w:rFonts w:ascii="仿宋" w:hAnsi="仿宋" w:eastAsia="仿宋"/>
          <w:sz w:val="32"/>
          <w:szCs w:val="32"/>
        </w:rPr>
      </w:pPr>
      <w:bookmarkStart w:id="30" w:name="_Toc15765"/>
      <w:r>
        <w:rPr>
          <w:rFonts w:ascii="仿宋" w:hAnsi="仿宋" w:eastAsia="仿宋"/>
          <w:sz w:val="32"/>
          <w:szCs w:val="32"/>
        </w:rPr>
        <w:t>20</w:t>
      </w:r>
      <w:r>
        <w:rPr>
          <w:rFonts w:hint="eastAsia" w:ascii="仿宋" w:hAnsi="仿宋" w:eastAsia="仿宋"/>
          <w:sz w:val="32"/>
          <w:szCs w:val="32"/>
        </w:rPr>
        <w:t>22年本年收入合计1865.8万元，其中：一般公共预算财政拨款收入642.78万元，占34.45</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；事业收入1172.51万元，占62.84</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；其他收入50.52万元，占2.71</w:t>
      </w:r>
      <w:r>
        <w:rPr>
          <w:rFonts w:ascii="仿宋" w:hAnsi="仿宋" w:eastAsia="仿宋"/>
          <w:sz w:val="32"/>
          <w:szCs w:val="32"/>
        </w:rPr>
        <w:t>%</w:t>
      </w:r>
      <w:r>
        <w:rPr>
          <w:rFonts w:hint="eastAsia" w:ascii="仿宋" w:hAnsi="仿宋" w:eastAsia="仿宋"/>
          <w:sz w:val="32"/>
          <w:szCs w:val="32"/>
        </w:rPr>
        <w:t>。</w:t>
      </w:r>
      <w:bookmarkEnd w:id="30"/>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spacing w:line="600" w:lineRule="exact"/>
        <w:ind w:firstLine="420" w:firstLineChars="200"/>
        <w:outlineLvl w:val="1"/>
        <w:rPr>
          <w:rFonts w:ascii="仿宋" w:hAnsi="仿宋" w:eastAsia="仿宋"/>
          <w:sz w:val="32"/>
          <w:szCs w:val="32"/>
        </w:rPr>
      </w:pPr>
      <w:r>
        <w:drawing>
          <wp:anchor distT="0" distB="0" distL="114300" distR="114300" simplePos="0" relativeHeight="251659264" behindDoc="1" locked="0" layoutInCell="1" allowOverlap="1">
            <wp:simplePos x="0" y="0"/>
            <wp:positionH relativeFrom="column">
              <wp:posOffset>271145</wp:posOffset>
            </wp:positionH>
            <wp:positionV relativeFrom="paragraph">
              <wp:posOffset>-2631440</wp:posOffset>
            </wp:positionV>
            <wp:extent cx="4154170" cy="2926080"/>
            <wp:effectExtent l="4445" t="5080" r="17145" b="10160"/>
            <wp:wrapTight wrapText="bothSides">
              <wp:wrapPolygon>
                <wp:start x="-23" y="-37"/>
                <wp:lineTo x="-23" y="21563"/>
                <wp:lineTo x="21531" y="21563"/>
                <wp:lineTo x="21531" y="-37"/>
                <wp:lineTo x="-23" y="-3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3"/>
        <w:numPr>
          <w:ilvl w:val="0"/>
          <w:numId w:val="2"/>
        </w:numPr>
        <w:spacing w:line="600" w:lineRule="exact"/>
        <w:ind w:firstLineChars="0"/>
        <w:outlineLvl w:val="1"/>
        <w:rPr>
          <w:rStyle w:val="25"/>
          <w:rFonts w:ascii="黑体" w:hAnsi="黑体" w:eastAsia="黑体"/>
          <w:b w:val="0"/>
        </w:rPr>
      </w:pPr>
      <w:bookmarkStart w:id="31" w:name="_Toc15377207"/>
      <w:bookmarkStart w:id="32" w:name="_Toc15396605"/>
      <w:bookmarkStart w:id="33" w:name="_Toc11881"/>
      <w:r>
        <w:rPr>
          <w:rFonts w:hint="eastAsia" w:ascii="黑体" w:hAnsi="黑体" w:eastAsia="黑体"/>
          <w:sz w:val="32"/>
          <w:szCs w:val="32"/>
        </w:rPr>
        <w:t>支</w:t>
      </w:r>
      <w:r>
        <w:rPr>
          <w:rStyle w:val="25"/>
          <w:rFonts w:hint="eastAsia" w:ascii="黑体" w:hAnsi="黑体" w:eastAsia="黑体"/>
          <w:b w:val="0"/>
        </w:rPr>
        <w:t>出决算情况说明</w:t>
      </w:r>
      <w:bookmarkEnd w:id="31"/>
      <w:bookmarkEnd w:id="32"/>
      <w:bookmarkEnd w:id="33"/>
    </w:p>
    <w:p>
      <w:pPr>
        <w:spacing w:line="600" w:lineRule="exact"/>
        <w:ind w:firstLine="640" w:firstLineChars="200"/>
        <w:outlineLvl w:val="1"/>
        <w:rPr>
          <w:rFonts w:ascii="仿宋" w:hAnsi="仿宋" w:eastAsia="仿宋"/>
          <w:sz w:val="32"/>
          <w:szCs w:val="32"/>
        </w:rPr>
      </w:pPr>
      <w:bookmarkStart w:id="34" w:name="_Toc21631"/>
      <w:r>
        <w:rPr>
          <w:rFonts w:ascii="仿宋" w:hAnsi="仿宋" w:eastAsia="仿宋"/>
          <w:sz w:val="32"/>
          <w:szCs w:val="32"/>
        </w:rPr>
        <w:t>20</w:t>
      </w:r>
      <w:r>
        <w:rPr>
          <w:rFonts w:hint="eastAsia" w:ascii="仿宋" w:hAnsi="仿宋" w:eastAsia="仿宋"/>
          <w:sz w:val="32"/>
          <w:szCs w:val="32"/>
        </w:rPr>
        <w:t>22年本年支出合计1865.8万元，其中：基本支出1863.8万元，占99.89</w:t>
      </w:r>
      <w:r>
        <w:rPr>
          <w:rFonts w:ascii="仿宋" w:hAnsi="仿宋" w:eastAsia="仿宋"/>
          <w:sz w:val="32"/>
          <w:szCs w:val="32"/>
        </w:rPr>
        <w:t>%</w:t>
      </w:r>
      <w:r>
        <w:rPr>
          <w:rFonts w:hint="eastAsia" w:ascii="仿宋" w:hAnsi="仿宋" w:eastAsia="仿宋"/>
          <w:sz w:val="32"/>
          <w:szCs w:val="32"/>
        </w:rPr>
        <w:t>；项目支出2万元，占0.11</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34"/>
    </w:p>
    <w:p>
      <w:pPr>
        <w:pStyle w:val="2"/>
        <w:spacing w:before="93"/>
        <w:rPr>
          <w:rFonts w:ascii="仿宋" w:hAnsi="仿宋" w:eastAsia="仿宋"/>
          <w:sz w:val="32"/>
          <w:szCs w:val="32"/>
          <w:shd w:val="pct10" w:color="auto" w:fill="FFFFFF"/>
        </w:rPr>
      </w:pPr>
      <w:r>
        <w:drawing>
          <wp:inline distT="0" distB="0" distL="114300" distR="114300">
            <wp:extent cx="4091940" cy="2926080"/>
            <wp:effectExtent l="4445" t="5080" r="18415"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5"/>
          <w:rFonts w:ascii="黑体" w:hAnsi="黑体" w:eastAsia="黑体"/>
          <w:b w:val="0"/>
        </w:rPr>
      </w:pPr>
      <w:bookmarkStart w:id="35" w:name="_Toc15396606"/>
      <w:bookmarkStart w:id="36" w:name="_Toc15377208"/>
      <w:bookmarkStart w:id="37" w:name="_Toc3594"/>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5"/>
      <w:bookmarkEnd w:id="36"/>
      <w:bookmarkEnd w:id="3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22年财政拨款收、支总计642.78万元。</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p>
    <w:p>
      <w:pPr>
        <w:spacing w:line="600" w:lineRule="exact"/>
        <w:ind w:firstLine="640" w:firstLineChars="200"/>
        <w:outlineLvl w:val="1"/>
        <w:rPr>
          <w:rStyle w:val="25"/>
          <w:rFonts w:ascii="黑体" w:hAnsi="黑体" w:eastAsia="黑体"/>
          <w:b w:val="0"/>
        </w:rPr>
      </w:pPr>
      <w:bookmarkStart w:id="38" w:name="_Toc15396607"/>
      <w:bookmarkStart w:id="39" w:name="_Toc8493"/>
      <w:bookmarkStart w:id="40"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sz w:val="32"/>
          <w:szCs w:val="32"/>
        </w:rPr>
      </w:pPr>
      <w:bookmarkStart w:id="41" w:name="_Toc9026"/>
      <w:bookmarkStart w:id="42" w:name="_Toc15377210"/>
      <w:r>
        <w:rPr>
          <w:rFonts w:hint="eastAsia" w:ascii="仿宋" w:hAnsi="仿宋" w:eastAsia="仿宋"/>
          <w:b/>
          <w:sz w:val="32"/>
          <w:szCs w:val="32"/>
        </w:rPr>
        <w:t>（一）一般公共预算财政拨款支出决算总体情况</w:t>
      </w:r>
      <w:bookmarkEnd w:id="41"/>
      <w:bookmarkEnd w:id="4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22年一般公共预算财政拨款支出642.78万元，占本年支出合计的29.41</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p>
    <w:p>
      <w:pPr>
        <w:spacing w:line="600" w:lineRule="exact"/>
        <w:ind w:firstLine="643" w:firstLineChars="200"/>
        <w:outlineLvl w:val="2"/>
        <w:rPr>
          <w:rFonts w:ascii="仿宋" w:hAnsi="仿宋" w:eastAsia="仿宋"/>
          <w:b/>
          <w:sz w:val="32"/>
          <w:szCs w:val="32"/>
        </w:rPr>
      </w:pPr>
      <w:bookmarkStart w:id="43" w:name="_Toc15377211"/>
      <w:bookmarkStart w:id="44" w:name="_Toc11834"/>
      <w:r>
        <w:rPr>
          <w:rFonts w:hint="eastAsia" w:ascii="仿宋" w:hAnsi="仿宋" w:eastAsia="仿宋"/>
          <w:b/>
          <w:sz w:val="32"/>
          <w:szCs w:val="32"/>
        </w:rPr>
        <w:t>（二）一般公共预算财政拨款支出决算结构情况</w:t>
      </w:r>
      <w:bookmarkEnd w:id="43"/>
      <w:bookmarkEnd w:id="44"/>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642.78万元，主要用于以下方面:一般公共服务支出0万元，占0%；教育支出0万元，占0%；科学技术支出0万元，占0%；文化旅游体育与传媒支出0万元，占0%；社会保障和就业支出56.31万元，占8.76%；卫生健康支出542.24万元，占84.35%；住房保障支出42.23万元，占6.</w:t>
      </w:r>
      <w:r>
        <w:rPr>
          <w:rFonts w:hint="eastAsia" w:ascii="仿宋" w:hAnsi="仿宋" w:eastAsia="仿宋"/>
          <w:sz w:val="32"/>
          <w:szCs w:val="32"/>
          <w:lang w:val="en-US" w:eastAsia="zh-CN"/>
        </w:rPr>
        <w:t>56</w:t>
      </w:r>
      <w:r>
        <w:rPr>
          <w:rFonts w:hint="eastAsia" w:ascii="仿宋" w:hAnsi="仿宋" w:eastAsia="仿宋"/>
          <w:sz w:val="32"/>
          <w:szCs w:val="32"/>
        </w:rPr>
        <w:t>%</w:t>
      </w:r>
      <w:r>
        <w:rPr>
          <w:rFonts w:hint="eastAsia" w:ascii="仿宋" w:hAnsi="仿宋" w:eastAsia="仿宋"/>
          <w:sz w:val="32"/>
          <w:szCs w:val="32"/>
          <w:lang w:eastAsia="zh-CN"/>
        </w:rPr>
        <w:t>；农林水支出</w:t>
      </w:r>
      <w:r>
        <w:rPr>
          <w:rFonts w:hint="eastAsia" w:ascii="仿宋" w:hAnsi="仿宋" w:eastAsia="仿宋"/>
          <w:sz w:val="32"/>
          <w:szCs w:val="32"/>
          <w:lang w:val="en-US" w:eastAsia="zh-CN"/>
        </w:rPr>
        <w:t>2万元，占0.33%。</w:t>
      </w:r>
    </w:p>
    <w:p>
      <w:pPr>
        <w:pStyle w:val="2"/>
        <w:spacing w:before="93"/>
        <w:rPr>
          <w:rFonts w:ascii="仿宋" w:hAnsi="仿宋" w:eastAsia="仿宋"/>
          <w:sz w:val="32"/>
          <w:szCs w:val="32"/>
        </w:rPr>
      </w:pPr>
      <w:r>
        <w:rPr>
          <w:rFonts w:ascii="宋体" w:hAnsi="宋体" w:eastAsia="宋体" w:cs="宋体"/>
          <w:sz w:val="24"/>
          <w:szCs w:val="24"/>
        </w:rPr>
        <w:drawing>
          <wp:inline distT="0" distB="0" distL="114300" distR="114300">
            <wp:extent cx="4105275" cy="29337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4105275" cy="2933700"/>
                    </a:xfrm>
                    <a:prstGeom prst="rect">
                      <a:avLst/>
                    </a:prstGeom>
                    <a:noFill/>
                    <a:ln w="9525">
                      <a:noFill/>
                    </a:ln>
                  </pic:spPr>
                </pic:pic>
              </a:graphicData>
            </a:graphic>
          </wp:inline>
        </w:drawing>
      </w:r>
    </w:p>
    <w:p>
      <w:pPr>
        <w:spacing w:line="600" w:lineRule="exact"/>
        <w:ind w:firstLine="643" w:firstLineChars="200"/>
        <w:outlineLvl w:val="2"/>
        <w:rPr>
          <w:rFonts w:ascii="仿宋" w:hAnsi="仿宋" w:eastAsia="仿宋"/>
          <w:b/>
          <w:sz w:val="32"/>
          <w:szCs w:val="32"/>
        </w:rPr>
      </w:pPr>
      <w:bookmarkStart w:id="45" w:name="_Toc20121"/>
      <w:bookmarkStart w:id="46" w:name="_Toc15377212"/>
      <w:r>
        <w:rPr>
          <w:rFonts w:hint="eastAsia" w:ascii="仿宋" w:hAnsi="仿宋" w:eastAsia="仿宋"/>
          <w:b/>
          <w:sz w:val="32"/>
          <w:szCs w:val="32"/>
        </w:rPr>
        <w:t>（三）一般公共预算财政拨款支出决算具体情况</w:t>
      </w:r>
      <w:bookmarkEnd w:id="45"/>
      <w:bookmarkEnd w:id="46"/>
    </w:p>
    <w:p>
      <w:pPr>
        <w:spacing w:line="600" w:lineRule="exact"/>
        <w:ind w:firstLine="640" w:firstLineChars="200"/>
        <w:outlineLvl w:val="2"/>
        <w:rPr>
          <w:rFonts w:ascii="仿宋" w:hAnsi="仿宋" w:eastAsia="仿宋"/>
          <w:bCs/>
          <w:sz w:val="32"/>
          <w:szCs w:val="32"/>
        </w:rPr>
      </w:pPr>
      <w:bookmarkStart w:id="47" w:name="_Toc2775"/>
      <w:bookmarkStart w:id="48" w:name="_Toc15377213"/>
      <w:bookmarkStart w:id="49" w:name="_Toc15377444"/>
      <w:bookmarkStart w:id="50" w:name="_Toc15378460"/>
      <w:r>
        <w:rPr>
          <w:rFonts w:hint="eastAsia" w:ascii="仿宋" w:hAnsi="仿宋" w:eastAsia="仿宋"/>
          <w:bCs/>
          <w:sz w:val="32"/>
          <w:szCs w:val="32"/>
        </w:rPr>
        <w:t>2022年一般公共预算支出决算数为642.78，</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。其中：</w:t>
      </w:r>
      <w:bookmarkEnd w:id="47"/>
      <w:bookmarkEnd w:id="48"/>
      <w:bookmarkEnd w:id="49"/>
      <w:bookmarkEnd w:id="50"/>
    </w:p>
    <w:p>
      <w:pPr>
        <w:spacing w:line="600" w:lineRule="exact"/>
        <w:ind w:firstLine="640" w:firstLineChars="200"/>
        <w:rPr>
          <w:rFonts w:ascii="仿宋" w:hAnsi="仿宋" w:eastAsia="仿宋"/>
          <w:b/>
          <w:sz w:val="32"/>
          <w:szCs w:val="32"/>
        </w:rPr>
      </w:pPr>
      <w:r>
        <w:rPr>
          <w:rStyle w:val="14"/>
          <w:rFonts w:hint="eastAsia" w:ascii="仿宋" w:hAnsi="仿宋" w:eastAsia="仿宋"/>
          <w:b w:val="0"/>
          <w:bCs/>
          <w:sz w:val="32"/>
          <w:szCs w:val="32"/>
        </w:rPr>
        <w:t>1</w:t>
      </w:r>
      <w:r>
        <w:rPr>
          <w:rStyle w:val="14"/>
          <w:rFonts w:ascii="仿宋" w:hAnsi="仿宋" w:eastAsia="仿宋"/>
          <w:b w:val="0"/>
          <w:bCs/>
          <w:sz w:val="32"/>
          <w:szCs w:val="32"/>
        </w:rPr>
        <w:t>.</w:t>
      </w:r>
      <w:r>
        <w:rPr>
          <w:rStyle w:val="14"/>
          <w:rFonts w:hint="eastAsia" w:ascii="仿宋" w:hAnsi="仿宋" w:eastAsia="仿宋"/>
          <w:b w:val="0"/>
          <w:bCs/>
          <w:sz w:val="32"/>
          <w:szCs w:val="32"/>
        </w:rPr>
        <w:t>社会保障和就业（类）行政事业单位养老支出（款）机关事业单位基本养老保险缴费支出（项）</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支出决算为56.31万元，完成预算100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2.卫生健康（类）基层医疗卫生机构（款）乡镇卫生院（项）:支出决算为</w:t>
      </w:r>
      <w:r>
        <w:rPr>
          <w:rFonts w:hint="eastAsia" w:ascii="仿宋" w:hAnsi="仿宋" w:eastAsia="仿宋"/>
          <w:bCs/>
          <w:sz w:val="32"/>
          <w:szCs w:val="32"/>
          <w:lang w:val="en-US" w:eastAsia="zh-CN"/>
        </w:rPr>
        <w:t>395.06</w:t>
      </w:r>
      <w:r>
        <w:rPr>
          <w:rFonts w:hint="eastAsia" w:ascii="仿宋" w:hAnsi="仿宋" w:eastAsia="仿宋"/>
          <w:bCs/>
          <w:sz w:val="32"/>
          <w:szCs w:val="32"/>
        </w:rPr>
        <w:t>万元，完成预算100%。</w:t>
      </w:r>
    </w:p>
    <w:p>
      <w:pPr>
        <w:spacing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3.卫生健康（类）基层医疗卫生机构（款）其他基层医疗卫生机构支出（项）:支出决算为4.33万元，完成预算100%。</w:t>
      </w:r>
    </w:p>
    <w:p>
      <w:pPr>
        <w:spacing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4.卫生健康（类）公共卫生（款）基本公共卫生服务（项）:支出决算为114.7万元，完成预算100%。</w:t>
      </w:r>
    </w:p>
    <w:p>
      <w:pPr>
        <w:spacing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5.卫生健康（类）行政事业单位医疗（款）事业单位医疗（项）:支出决算为28.15万元，完成预算100%。</w:t>
      </w:r>
    </w:p>
    <w:p>
      <w:pPr>
        <w:spacing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6.农林水支出（类）巩固脱贫衔接乡村振兴（款） 社会发展（项）:支出决算为2万元，完成预算100%。</w:t>
      </w:r>
    </w:p>
    <w:p>
      <w:pPr>
        <w:spacing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7.住房保障支出（类）住房改革支出（款） 住房公积金（项）:支出决算为42.23万元，完成预算100%。</w:t>
      </w:r>
    </w:p>
    <w:p>
      <w:pPr>
        <w:tabs>
          <w:tab w:val="right" w:pos="8306"/>
        </w:tabs>
        <w:spacing w:line="600" w:lineRule="exact"/>
        <w:ind w:firstLine="640"/>
        <w:outlineLvl w:val="1"/>
        <w:rPr>
          <w:rStyle w:val="25"/>
        </w:rPr>
      </w:pPr>
      <w:bookmarkStart w:id="51" w:name="_Toc15377214"/>
      <w:bookmarkStart w:id="52" w:name="_Toc15396608"/>
      <w:bookmarkStart w:id="53" w:name="_Toc6777"/>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51"/>
      <w:bookmarkEnd w:id="52"/>
      <w:bookmarkEnd w:id="53"/>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22年一般公共预算财政拨款基本支出640.78万元，其中：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493.22万元，主要包括：基本工资、津贴补贴、绩效工资、机关事业单位基本养老保险缴费、职工基本医疗保险缴费、其他社会保障缴费、其他工资福利支出、生活补助、住房公积金、对个人和家庭的补助支出等。</w:t>
      </w:r>
      <w:r>
        <w:rPr>
          <w:rFonts w:ascii="仿宋" w:hAnsi="仿宋" w:eastAsia="仿宋"/>
          <w:sz w:val="32"/>
          <w:szCs w:val="32"/>
        </w:rPr>
        <w:br w:type="textWrapping"/>
      </w:r>
      <w:r>
        <w:rPr>
          <w:rFonts w:hint="eastAsia" w:ascii="仿宋" w:hAnsi="仿宋" w:eastAsia="仿宋"/>
          <w:sz w:val="32"/>
          <w:szCs w:val="32"/>
        </w:rPr>
        <w:t>　　公用经费147.56万元，主要包括：办公费、手续费、水费、电费、邮电费、差旅费、维修（护）费、公务接待费、</w:t>
      </w:r>
      <w:r>
        <w:rPr>
          <w:rFonts w:hint="eastAsia" w:ascii="仿宋" w:hAnsi="仿宋" w:eastAsia="仿宋"/>
          <w:sz w:val="32"/>
          <w:szCs w:val="32"/>
          <w:lang w:eastAsia="zh-CN"/>
        </w:rPr>
        <w:t>专用材料费、</w:t>
      </w:r>
      <w:r>
        <w:rPr>
          <w:rFonts w:hint="eastAsia" w:ascii="仿宋" w:hAnsi="仿宋" w:eastAsia="仿宋"/>
          <w:sz w:val="32"/>
          <w:szCs w:val="32"/>
        </w:rPr>
        <w:t>工会经费、福利费等。</w:t>
      </w:r>
    </w:p>
    <w:p>
      <w:pPr>
        <w:spacing w:line="600" w:lineRule="exact"/>
        <w:ind w:firstLine="640"/>
        <w:outlineLvl w:val="1"/>
        <w:rPr>
          <w:rStyle w:val="25"/>
          <w:rFonts w:ascii="黑体" w:hAnsi="黑体" w:eastAsia="黑体"/>
          <w:b w:val="0"/>
        </w:rPr>
      </w:pPr>
      <w:bookmarkStart w:id="54" w:name="_Toc15377215"/>
      <w:bookmarkStart w:id="55" w:name="_Toc2354"/>
      <w:bookmarkStart w:id="56"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54"/>
      <w:bookmarkEnd w:id="55"/>
      <w:bookmarkEnd w:id="56"/>
    </w:p>
    <w:p>
      <w:pPr>
        <w:spacing w:line="600" w:lineRule="exact"/>
        <w:ind w:firstLine="640"/>
        <w:outlineLvl w:val="2"/>
        <w:rPr>
          <w:rFonts w:ascii="仿宋" w:hAnsi="仿宋" w:eastAsia="仿宋"/>
          <w:b/>
          <w:sz w:val="32"/>
          <w:szCs w:val="32"/>
        </w:rPr>
      </w:pPr>
      <w:bookmarkStart w:id="57" w:name="_Toc25625"/>
      <w:bookmarkStart w:id="58" w:name="_Toc15377216"/>
      <w:r>
        <w:rPr>
          <w:rFonts w:hint="eastAsia" w:ascii="仿宋" w:hAnsi="仿宋" w:eastAsia="仿宋"/>
          <w:b/>
          <w:sz w:val="32"/>
          <w:szCs w:val="32"/>
        </w:rPr>
        <w:t>（一）“三公”经费财政拨款支出决算总体情况说明</w:t>
      </w:r>
      <w:bookmarkEnd w:id="57"/>
      <w:bookmarkEnd w:id="5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22年“三公”经费财政拨款支出决算为0.96万元，完成预算100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59" w:name="_Toc7774"/>
      <w:bookmarkStart w:id="60" w:name="_Toc15377217"/>
      <w:r>
        <w:rPr>
          <w:rFonts w:hint="eastAsia" w:ascii="仿宋" w:hAnsi="仿宋" w:eastAsia="仿宋"/>
          <w:b/>
          <w:sz w:val="32"/>
          <w:szCs w:val="32"/>
        </w:rPr>
        <w:t>（二）“三公”经费财政拨款支出决算具体情况说明</w:t>
      </w:r>
      <w:bookmarkEnd w:id="59"/>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22年“三公”经费财政拨款支出决算中，公务接待费支出决算0.96万元，占100</w:t>
      </w:r>
      <w:r>
        <w:rPr>
          <w:rFonts w:ascii="仿宋" w:hAnsi="仿宋" w:eastAsia="仿宋"/>
          <w:sz w:val="32"/>
          <w:szCs w:val="32"/>
        </w:rPr>
        <w:t>%</w:t>
      </w:r>
      <w:r>
        <w:rPr>
          <w:rFonts w:hint="eastAsia" w:ascii="仿宋" w:hAnsi="仿宋" w:eastAsia="仿宋"/>
          <w:sz w:val="32"/>
          <w:szCs w:val="32"/>
        </w:rPr>
        <w:t>。具体情况如下：</w:t>
      </w:r>
    </w:p>
    <w:p>
      <w:pPr>
        <w:pStyle w:val="2"/>
        <w:spacing w:before="93"/>
        <w:rPr>
          <w:rFonts w:ascii="仿宋" w:hAnsi="仿宋" w:eastAsia="仿宋"/>
          <w:sz w:val="32"/>
          <w:szCs w:val="32"/>
        </w:rPr>
      </w:pPr>
      <w:r>
        <w:drawing>
          <wp:inline distT="0" distB="0" distL="114300" distR="114300">
            <wp:extent cx="4367530" cy="2867025"/>
            <wp:effectExtent l="4445" t="4445" r="17145" b="889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Style w:val="14"/>
          <w:rFonts w:ascii="仿宋" w:hAnsi="仿宋" w:eastAsia="仿宋"/>
          <w:b w:val="0"/>
          <w:bCs/>
          <w:sz w:val="32"/>
          <w:szCs w:val="32"/>
        </w:rPr>
      </w:pPr>
      <w:r>
        <w:rPr>
          <w:rStyle w:val="14"/>
          <w:rFonts w:hint="eastAsia" w:ascii="仿宋" w:hAnsi="仿宋" w:eastAsia="仿宋"/>
          <w:b w:val="0"/>
          <w:bCs/>
          <w:sz w:val="32"/>
          <w:szCs w:val="32"/>
        </w:rPr>
        <w:t>1.因公出国（境）经费支出0万元，完成预算0%。全年安排因公出国（境）团组0次，出国（境）0人。因公出国（境）支出决算比2021年增加/减少0万元，增长/下降0%。主要原因是无因公出国。</w:t>
      </w:r>
    </w:p>
    <w:p>
      <w:pPr>
        <w:spacing w:line="600" w:lineRule="exact"/>
        <w:ind w:firstLine="640"/>
        <w:rPr>
          <w:rStyle w:val="14"/>
          <w:rFonts w:ascii="仿宋" w:hAnsi="仿宋" w:eastAsia="仿宋"/>
          <w:b w:val="0"/>
          <w:bCs/>
          <w:sz w:val="32"/>
          <w:szCs w:val="32"/>
        </w:rPr>
      </w:pPr>
      <w:r>
        <w:rPr>
          <w:rStyle w:val="14"/>
          <w:rFonts w:hint="eastAsia" w:ascii="仿宋" w:hAnsi="仿宋" w:eastAsia="仿宋"/>
          <w:b w:val="0"/>
          <w:bCs/>
          <w:sz w:val="32"/>
          <w:szCs w:val="32"/>
        </w:rPr>
        <w:t>2.公务用车购置及运行维护费支出0万元,完成预算0%。公务用车购置及运行维护费支出决算比2021年增加/减少0万元，增长/下降0%。主要原因是无公务用车购置及运行维护费。</w:t>
      </w:r>
    </w:p>
    <w:p>
      <w:pPr>
        <w:spacing w:line="600" w:lineRule="exact"/>
        <w:ind w:firstLine="640"/>
        <w:rPr>
          <w:rStyle w:val="14"/>
          <w:rFonts w:ascii="仿宋" w:hAnsi="仿宋" w:eastAsia="仿宋"/>
          <w:b w:val="0"/>
          <w:bCs/>
          <w:sz w:val="32"/>
          <w:szCs w:val="32"/>
        </w:rPr>
      </w:pPr>
      <w:r>
        <w:rPr>
          <w:rStyle w:val="14"/>
          <w:rFonts w:hint="eastAsia" w:ascii="仿宋" w:hAnsi="仿宋" w:eastAsia="仿宋"/>
          <w:b w:val="0"/>
          <w:bCs/>
          <w:sz w:val="32"/>
          <w:szCs w:val="32"/>
        </w:rPr>
        <w:t>其中：公务用车购置支出0万元。全年按规定更新购置公务用车0辆，其中：轿车0辆、金额0万元，越野车0辆、金额0万元，载客汽车0辆、金额0万元，主要无公务车。截至2022年12月底，单位共有公务用车0辆，其中：轿车0辆、越野车0辆、载客汽车0辆。</w:t>
      </w:r>
    </w:p>
    <w:p>
      <w:pPr>
        <w:spacing w:line="600" w:lineRule="exact"/>
        <w:ind w:firstLine="640"/>
        <w:rPr>
          <w:rStyle w:val="14"/>
          <w:rFonts w:ascii="仿宋" w:hAnsi="仿宋" w:eastAsia="仿宋"/>
          <w:b w:val="0"/>
          <w:bCs/>
          <w:sz w:val="32"/>
          <w:szCs w:val="32"/>
        </w:rPr>
      </w:pPr>
      <w:r>
        <w:rPr>
          <w:rStyle w:val="14"/>
          <w:rFonts w:hint="eastAsia" w:ascii="仿宋" w:hAnsi="仿宋" w:eastAsia="仿宋"/>
          <w:b w:val="0"/>
          <w:bCs/>
          <w:sz w:val="32"/>
          <w:szCs w:val="32"/>
        </w:rPr>
        <w:t>公务用车运行维护费支出0万元。</w:t>
      </w:r>
    </w:p>
    <w:p>
      <w:pPr>
        <w:spacing w:line="600" w:lineRule="exact"/>
        <w:ind w:firstLine="640" w:firstLineChars="200"/>
        <w:rPr>
          <w:rStyle w:val="14"/>
          <w:rFonts w:ascii="仿宋" w:hAnsi="仿宋" w:eastAsia="仿宋"/>
          <w:b w:val="0"/>
          <w:bCs/>
          <w:sz w:val="32"/>
          <w:szCs w:val="32"/>
        </w:rPr>
      </w:pPr>
      <w:r>
        <w:rPr>
          <w:rStyle w:val="14"/>
          <w:rFonts w:hint="eastAsia" w:ascii="仿宋" w:hAnsi="仿宋" w:eastAsia="仿宋"/>
          <w:b w:val="0"/>
          <w:bCs/>
          <w:sz w:val="32"/>
          <w:szCs w:val="32"/>
        </w:rPr>
        <w:t>3.公务接待费支出0.96万元，完成预算100%。</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r>
        <w:rPr>
          <w:rStyle w:val="14"/>
          <w:rFonts w:hint="eastAsia" w:ascii="仿宋" w:hAnsi="仿宋" w:eastAsia="仿宋"/>
          <w:b w:val="0"/>
          <w:bCs/>
          <w:sz w:val="32"/>
          <w:szCs w:val="32"/>
        </w:rPr>
        <w:t>其中：</w:t>
      </w:r>
    </w:p>
    <w:p>
      <w:pPr>
        <w:spacing w:line="600" w:lineRule="exact"/>
        <w:ind w:firstLine="640"/>
        <w:rPr>
          <w:rStyle w:val="14"/>
          <w:rFonts w:ascii="仿宋" w:hAnsi="仿宋" w:eastAsia="仿宋"/>
          <w:b w:val="0"/>
          <w:bCs/>
          <w:sz w:val="32"/>
          <w:szCs w:val="32"/>
        </w:rPr>
      </w:pPr>
      <w:r>
        <w:rPr>
          <w:rStyle w:val="14"/>
          <w:rFonts w:hint="eastAsia" w:ascii="仿宋" w:hAnsi="仿宋" w:eastAsia="仿宋"/>
          <w:b w:val="0"/>
          <w:bCs/>
          <w:sz w:val="32"/>
          <w:szCs w:val="32"/>
        </w:rPr>
        <w:t>国内公务接待支出0.96万元，主要用于开展业务活动开支的交通费、住宿费、用餐费等。国内公务接待65批次，3</w:t>
      </w:r>
      <w:r>
        <w:rPr>
          <w:rStyle w:val="14"/>
          <w:rFonts w:hint="eastAsia" w:ascii="仿宋" w:hAnsi="仿宋" w:eastAsia="仿宋"/>
          <w:b w:val="0"/>
          <w:bCs/>
          <w:sz w:val="32"/>
          <w:szCs w:val="32"/>
          <w:lang w:val="en-US" w:eastAsia="zh-CN"/>
        </w:rPr>
        <w:t>19</w:t>
      </w:r>
      <w:r>
        <w:rPr>
          <w:rStyle w:val="14"/>
          <w:rFonts w:hint="eastAsia" w:ascii="仿宋" w:hAnsi="仿宋" w:eastAsia="仿宋"/>
          <w:b w:val="0"/>
          <w:bCs/>
          <w:sz w:val="32"/>
          <w:szCs w:val="32"/>
        </w:rPr>
        <w:t>人次（不包括陪同人员），共计支出0.96万元，具体内容包括：疫情防控开展检查。</w:t>
      </w:r>
    </w:p>
    <w:p>
      <w:pPr>
        <w:spacing w:line="600" w:lineRule="exact"/>
        <w:ind w:firstLine="640"/>
        <w:outlineLvl w:val="1"/>
        <w:rPr>
          <w:rStyle w:val="25"/>
          <w:rFonts w:ascii="黑体" w:hAnsi="黑体" w:eastAsia="黑体"/>
        </w:rPr>
      </w:pPr>
      <w:bookmarkStart w:id="61" w:name="_Toc15396610"/>
      <w:bookmarkStart w:id="62" w:name="_Toc15377218"/>
      <w:bookmarkStart w:id="63" w:name="_Toc3604"/>
      <w:r>
        <w:rPr>
          <w:rFonts w:hint="eastAsia" w:ascii="黑体" w:eastAsia="黑体"/>
          <w:sz w:val="32"/>
          <w:szCs w:val="32"/>
        </w:rPr>
        <w:t>八、</w:t>
      </w:r>
      <w:r>
        <w:rPr>
          <w:rStyle w:val="25"/>
          <w:rFonts w:hint="eastAsia" w:ascii="黑体" w:hAnsi="黑体" w:eastAsia="黑体"/>
          <w:b w:val="0"/>
        </w:rPr>
        <w:t>政府性基金预算支出决算情况说明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22年无政府性基金预算财政拨款。</w:t>
      </w:r>
    </w:p>
    <w:p>
      <w:pPr>
        <w:numPr>
          <w:ilvl w:val="0"/>
          <w:numId w:val="3"/>
        </w:numPr>
        <w:spacing w:line="600" w:lineRule="exact"/>
        <w:ind w:firstLine="640"/>
        <w:outlineLvl w:val="1"/>
        <w:rPr>
          <w:rStyle w:val="25"/>
          <w:rFonts w:ascii="黑体" w:hAnsi="黑体" w:eastAsia="黑体"/>
          <w:b w:val="0"/>
        </w:rPr>
      </w:pPr>
      <w:bookmarkStart w:id="64" w:name="_Toc15377219"/>
      <w:bookmarkStart w:id="65" w:name="_Toc9490"/>
      <w:bookmarkStart w:id="66" w:name="_Toc15396611"/>
      <w:r>
        <w:rPr>
          <w:rStyle w:val="25"/>
          <w:rFonts w:hint="eastAsia" w:ascii="黑体" w:hAnsi="黑体" w:eastAsia="黑体"/>
          <w:b w:val="0"/>
        </w:rPr>
        <w:t>国有资本经营预算支出决算情况说明</w:t>
      </w:r>
      <w:bookmarkEnd w:id="64"/>
      <w:bookmarkEnd w:id="65"/>
      <w:bookmarkEnd w:id="6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22年无国有资本经营预算财政拨款。</w:t>
      </w:r>
    </w:p>
    <w:p>
      <w:pPr>
        <w:numPr>
          <w:ilvl w:val="0"/>
          <w:numId w:val="3"/>
        </w:numPr>
        <w:spacing w:line="600" w:lineRule="exact"/>
        <w:ind w:firstLine="640"/>
        <w:outlineLvl w:val="1"/>
        <w:rPr>
          <w:rStyle w:val="25"/>
          <w:rFonts w:ascii="黑体" w:hAnsi="黑体" w:eastAsia="黑体"/>
          <w:b w:val="0"/>
        </w:rPr>
      </w:pPr>
      <w:bookmarkStart w:id="67" w:name="_Toc10403"/>
      <w:bookmarkStart w:id="68" w:name="_Toc15377221"/>
      <w:bookmarkStart w:id="69" w:name="_Toc15396612"/>
      <w:r>
        <w:rPr>
          <w:rStyle w:val="25"/>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sz w:val="32"/>
          <w:szCs w:val="32"/>
        </w:rPr>
      </w:pPr>
      <w:bookmarkStart w:id="70" w:name="_Toc15377222"/>
      <w:bookmarkStart w:id="71" w:name="_Toc4994"/>
      <w:r>
        <w:rPr>
          <w:rFonts w:hint="eastAsia" w:ascii="仿宋" w:hAnsi="仿宋" w:eastAsia="仿宋"/>
          <w:b/>
          <w:sz w:val="32"/>
          <w:szCs w:val="32"/>
        </w:rPr>
        <w:t>（一）机关运行经费支出情况</w:t>
      </w:r>
      <w:bookmarkEnd w:id="70"/>
      <w:bookmarkEnd w:id="71"/>
    </w:p>
    <w:p>
      <w:pPr>
        <w:spacing w:line="600" w:lineRule="exact"/>
        <w:ind w:firstLine="640" w:firstLineChars="200"/>
        <w:rPr>
          <w:rFonts w:ascii="仿宋_GB2312" w:eastAsia="仿宋_GB2312"/>
          <w:sz w:val="32"/>
          <w:szCs w:val="32"/>
        </w:rPr>
      </w:pPr>
      <w:bookmarkStart w:id="72" w:name="_Toc15377223"/>
      <w:bookmarkStart w:id="73" w:name="_Toc17569"/>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剑阁县公兴镇中心卫生院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本单位属于事业单位，无机关运行经费支出。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72"/>
      <w:bookmarkEnd w:id="7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22年，无政府采购支出。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15377224"/>
      <w:bookmarkStart w:id="75" w:name="_Toc9412"/>
      <w:r>
        <w:rPr>
          <w:rFonts w:hint="eastAsia" w:ascii="仿宋" w:hAnsi="仿宋" w:eastAsia="仿宋"/>
          <w:b/>
          <w:sz w:val="32"/>
          <w:szCs w:val="32"/>
        </w:rPr>
        <w:t>（三）国有资产占有使用情况</w:t>
      </w:r>
      <w:bookmarkEnd w:id="74"/>
      <w:bookmarkEnd w:id="7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日，剑阁县公兴镇中心卫生院共有车辆1辆，其中：特种专业技术用车1辆。单价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6" w:name="_Toc4039"/>
      <w:r>
        <w:rPr>
          <w:rFonts w:hint="eastAsia" w:ascii="仿宋" w:hAnsi="仿宋" w:eastAsia="仿宋"/>
          <w:b/>
          <w:sz w:val="32"/>
          <w:szCs w:val="32"/>
        </w:rPr>
        <w:t>（四）预算绩效管理情况</w:t>
      </w:r>
      <w:bookmarkEnd w:id="76"/>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院对院”结对项目开展了预算事前绩效评估，对1个项目编制了绩效目标，预算执行过程中，选取0个项目开展绩效监控，组织对1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77" w:name="_Toc15377225"/>
      <w:bookmarkStart w:id="78" w:name="_Toc15012"/>
      <w:bookmarkStart w:id="79" w:name="_Toc15396613"/>
      <w:r>
        <w:rPr>
          <w:rFonts w:hint="eastAsia" w:ascii="黑体" w:hAnsi="黑体" w:eastAsia="黑体"/>
          <w:sz w:val="44"/>
          <w:szCs w:val="44"/>
        </w:rPr>
        <w:t>名</w:t>
      </w:r>
      <w:r>
        <w:rPr>
          <w:rStyle w:val="24"/>
          <w:rFonts w:hint="eastAsia" w:ascii="黑体" w:hAnsi="黑体" w:eastAsia="黑体"/>
          <w:b w:val="0"/>
        </w:rPr>
        <w:t>词解释</w:t>
      </w:r>
      <w:bookmarkEnd w:id="77"/>
      <w:bookmarkEnd w:id="78"/>
      <w:bookmarkEnd w:id="79"/>
    </w:p>
    <w:p>
      <w:pPr>
        <w:spacing w:line="600" w:lineRule="exact"/>
        <w:jc w:val="left"/>
        <w:rPr>
          <w:rFonts w:ascii="宋体"/>
          <w:b/>
          <w:sz w:val="44"/>
          <w:szCs w:val="44"/>
        </w:rPr>
      </w:pP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财政拨款收入：指单位从同级财政部门取得的财政预算资金。</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事业收入：指事业单位开展专业业务活动及辅助活动取得的收入。</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其他收入：指单位取得的除上述收入以外的各项收入。</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社会保障和就业（类）行政事业单位养老支出（款）机关事业单位基本养老保险缴费支出（项）: 指部门实施养老保险制度由单位缴纳的养老保险费的支出。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卫生健康支出（类）基层医疗卫生机构（款）乡镇卫生院（项）:反映用于乡镇卫生院的支出。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卫生健康支出（类）基层医疗卫生机构（款）其他基层医疗卫生机构支出（项）:反映除上述项目以外的其他用于基层医疗卫生机构的支出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卫生健康支出（类）公共卫生（款）基本公共卫生服务（项）:反映基本公共卫生服务支出。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卫生健康支出（类）行政事业单位医疗（款）事业单位医疗（项）:指事业单位用于缴纳单位基本医疗保险支出。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卫生健康支出（类）其他卫生健康支出（款）其他卫生健康支出（项）:反映除上述项目以外其他用于卫生健康方面的支出。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农林水支出（类）巩固脱贫衔接乡村振兴（款）社会发展（项）:反映用于农村欠发达地区中小学教育、文化、广播、电视、卫生健康等方面的项目支出。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住房保障支出（类）住房改革支出（款）住房公积金（项）:反映行政事业单位按人力资源和社会保障部、财政部规定的基本工资和津贴补贴以及规定比例为职工缴纳的住房公积金。</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基本支出：指为保障机构正常运转、完成日常工作任务而发生的人员支出和公用支出。</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项目支出：指在基本支出之外为完成特定行政任务和事业发展目标所发生的支出。 </w:t>
      </w:r>
    </w:p>
    <w:p>
      <w:pPr>
        <w:numPr>
          <w:ilvl w:val="0"/>
          <w:numId w:val="5"/>
        </w:numPr>
        <w:spacing w:line="600" w:lineRule="exact"/>
        <w:jc w:val="left"/>
        <w:outlineLvl w:val="0"/>
        <w:rPr>
          <w:rFonts w:ascii="宋体" w:hAnsi="宋体" w:eastAsia="宋体" w:cs="宋体"/>
          <w:sz w:val="24"/>
          <w:szCs w:val="24"/>
        </w:rPr>
      </w:pP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4"/>
          <w:rFonts w:ascii="黑体" w:hAnsi="黑体" w:eastAsia="黑体"/>
          <w:b w:val="0"/>
        </w:rPr>
      </w:pPr>
      <w:bookmarkStart w:id="80" w:name="_Toc15377226"/>
      <w:r>
        <w:rPr>
          <w:rFonts w:ascii="宋体"/>
          <w:b/>
          <w:sz w:val="44"/>
          <w:szCs w:val="44"/>
        </w:rPr>
        <w:br w:type="page"/>
      </w:r>
      <w:bookmarkStart w:id="81" w:name="_Toc3018"/>
      <w:bookmarkStart w:id="82" w:name="_Toc15396614"/>
      <w:r>
        <w:rPr>
          <w:rFonts w:hint="eastAsia" w:ascii="黑体" w:hAnsi="黑体" w:eastAsia="黑体"/>
          <w:sz w:val="44"/>
          <w:szCs w:val="44"/>
        </w:rPr>
        <w:t>第</w:t>
      </w:r>
      <w:r>
        <w:rPr>
          <w:rStyle w:val="24"/>
          <w:rFonts w:hint="eastAsia" w:ascii="黑体" w:hAnsi="黑体" w:eastAsia="黑体"/>
          <w:b w:val="0"/>
        </w:rPr>
        <w:t>四部分 附件</w:t>
      </w:r>
      <w:bookmarkEnd w:id="81"/>
      <w:bookmarkEnd w:id="82"/>
    </w:p>
    <w:p>
      <w:pPr>
        <w:pStyle w:val="30"/>
        <w:spacing w:line="578" w:lineRule="exact"/>
        <w:ind w:firstLine="1680" w:firstLineChars="600"/>
        <w:rPr>
          <w:rFonts w:hint="eastAsia"/>
        </w:rPr>
      </w:pPr>
      <w:bookmarkStart w:id="83" w:name="_Toc15396618"/>
    </w:p>
    <w:p>
      <w:pPr>
        <w:pStyle w:val="30"/>
        <w:spacing w:line="578" w:lineRule="exact"/>
        <w:ind w:firstLine="1680" w:firstLineChars="600"/>
        <w:rPr>
          <w:rFonts w:hint="eastAsia" w:ascii="方正小标宋简体" w:hAnsi="方正小标宋简体" w:eastAsia="方正小标宋简体" w:cs="方正小标宋简体"/>
          <w:color w:val="auto"/>
          <w:kern w:val="2"/>
          <w:sz w:val="44"/>
          <w:szCs w:val="44"/>
          <w:lang w:val="en-US"/>
        </w:rPr>
      </w:pPr>
      <w:r>
        <w:rPr>
          <w:rFonts w:hint="eastAsia"/>
        </w:rPr>
        <w:tab/>
      </w:r>
      <w:r>
        <w:rPr>
          <w:rFonts w:hint="eastAsia" w:ascii="方正小标宋简体" w:hAnsi="方正小标宋简体" w:eastAsia="方正小标宋简体" w:cs="方正小标宋简体"/>
          <w:color w:val="auto"/>
          <w:kern w:val="2"/>
          <w:sz w:val="44"/>
          <w:szCs w:val="44"/>
          <w:lang w:val="en-US"/>
        </w:rPr>
        <w:t>剑阁县公兴镇中心卫生院</w:t>
      </w:r>
    </w:p>
    <w:p>
      <w:pPr>
        <w:pStyle w:val="30"/>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“院对院”结对 项目绩效自评报告</w:t>
      </w:r>
    </w:p>
    <w:p>
      <w:pPr>
        <w:tabs>
          <w:tab w:val="left" w:pos="373"/>
        </w:tabs>
        <w:jc w:val="left"/>
        <w:rPr>
          <w:rFonts w:hint="eastAsia"/>
          <w:sz w:val="36"/>
          <w:szCs w:val="44"/>
        </w:rPr>
      </w:pPr>
      <w:r>
        <w:rPr>
          <w:rFonts w:hint="eastAsia"/>
          <w:sz w:val="36"/>
          <w:szCs w:val="44"/>
        </w:rPr>
        <w:tab/>
      </w:r>
    </w:p>
    <w:p>
      <w:pPr>
        <w:numPr>
          <w:ilvl w:val="0"/>
          <w:numId w:val="6"/>
        </w:numPr>
        <w:tabs>
          <w:tab w:val="left" w:pos="287"/>
        </w:tabs>
        <w:jc w:val="left"/>
        <w:rPr>
          <w:rFonts w:hint="eastAsia" w:ascii="仿宋" w:hAnsi="仿宋" w:eastAsia="仿宋"/>
          <w:sz w:val="32"/>
          <w:szCs w:val="32"/>
        </w:rPr>
      </w:pPr>
      <w:r>
        <w:rPr>
          <w:rFonts w:hint="eastAsia" w:ascii="仿宋" w:hAnsi="仿宋" w:eastAsia="仿宋"/>
          <w:sz w:val="32"/>
          <w:szCs w:val="32"/>
        </w:rPr>
        <w:t>项目概况</w:t>
      </w:r>
    </w:p>
    <w:p>
      <w:pPr>
        <w:numPr>
          <w:ilvl w:val="0"/>
          <w:numId w:val="7"/>
        </w:numPr>
        <w:tabs>
          <w:tab w:val="left" w:pos="287"/>
        </w:tabs>
        <w:ind w:left="287"/>
        <w:jc w:val="left"/>
        <w:rPr>
          <w:rFonts w:hint="eastAsia" w:ascii="仿宋" w:hAnsi="仿宋" w:eastAsia="仿宋" w:cs="宋体"/>
          <w:sz w:val="32"/>
          <w:szCs w:val="32"/>
        </w:rPr>
      </w:pPr>
      <w:r>
        <w:rPr>
          <w:rFonts w:hint="eastAsia" w:ascii="仿宋" w:hAnsi="仿宋" w:eastAsia="仿宋" w:cs="宋体"/>
          <w:sz w:val="32"/>
          <w:szCs w:val="32"/>
        </w:rPr>
        <w:t>项目基本情况</w:t>
      </w:r>
    </w:p>
    <w:p>
      <w:pPr>
        <w:numPr>
          <w:ilvl w:val="0"/>
          <w:numId w:val="8"/>
        </w:numPr>
        <w:tabs>
          <w:tab w:val="left" w:pos="287"/>
        </w:tabs>
        <w:jc w:val="left"/>
        <w:rPr>
          <w:rFonts w:hint="eastAsia" w:ascii="仿宋" w:hAnsi="仿宋" w:eastAsia="仿宋" w:cs="宋体"/>
          <w:sz w:val="32"/>
          <w:szCs w:val="32"/>
        </w:rPr>
      </w:pPr>
      <w:r>
        <w:rPr>
          <w:rFonts w:hint="eastAsia" w:ascii="仿宋" w:hAnsi="仿宋" w:eastAsia="仿宋" w:cs="宋体"/>
          <w:sz w:val="32"/>
          <w:szCs w:val="32"/>
        </w:rPr>
        <w:t>项目主管单位：剑阁县卫生健康管理局。</w:t>
      </w:r>
    </w:p>
    <w:p>
      <w:pPr>
        <w:tabs>
          <w:tab w:val="left" w:pos="287"/>
        </w:tabs>
        <w:jc w:val="left"/>
        <w:rPr>
          <w:rFonts w:hint="eastAsia" w:ascii="仿宋" w:hAnsi="仿宋" w:eastAsia="仿宋" w:cs="宋体"/>
          <w:sz w:val="32"/>
          <w:szCs w:val="32"/>
        </w:rPr>
      </w:pPr>
      <w:r>
        <w:rPr>
          <w:rFonts w:hint="eastAsia" w:ascii="仿宋" w:hAnsi="仿宋" w:eastAsia="仿宋" w:cs="宋体"/>
          <w:sz w:val="32"/>
          <w:szCs w:val="32"/>
        </w:rPr>
        <w:t>项目主管单位牵头实施项目对该资金加强资金管理，确保专款专用，不得挪作他用。</w:t>
      </w:r>
    </w:p>
    <w:p>
      <w:pPr>
        <w:numPr>
          <w:ilvl w:val="0"/>
          <w:numId w:val="8"/>
        </w:numPr>
        <w:tabs>
          <w:tab w:val="left" w:pos="287"/>
        </w:tabs>
        <w:jc w:val="left"/>
        <w:rPr>
          <w:rFonts w:hint="eastAsia" w:ascii="仿宋" w:hAnsi="仿宋" w:eastAsia="仿宋" w:cs="宋体"/>
          <w:sz w:val="32"/>
          <w:szCs w:val="32"/>
        </w:rPr>
      </w:pPr>
      <w:r>
        <w:rPr>
          <w:rFonts w:hint="eastAsia" w:ascii="仿宋" w:hAnsi="仿宋" w:eastAsia="仿宋" w:cs="宋体"/>
          <w:sz w:val="32"/>
          <w:szCs w:val="32"/>
        </w:rPr>
        <w:t>项目情况</w:t>
      </w:r>
    </w:p>
    <w:p>
      <w:pPr>
        <w:tabs>
          <w:tab w:val="left" w:pos="287"/>
        </w:tabs>
        <w:ind w:firstLine="320" w:firstLineChars="100"/>
        <w:jc w:val="left"/>
        <w:rPr>
          <w:rFonts w:ascii="仿宋" w:hAnsi="仿宋" w:eastAsia="仿宋" w:cs="宋体"/>
          <w:sz w:val="32"/>
          <w:szCs w:val="32"/>
        </w:rPr>
      </w:pPr>
      <w:r>
        <w:rPr>
          <w:rFonts w:hint="eastAsia" w:ascii="仿宋" w:hAnsi="仿宋" w:eastAsia="仿宋" w:cs="宋体"/>
          <w:sz w:val="32"/>
          <w:szCs w:val="32"/>
        </w:rPr>
        <w:t>“院对院”结对帮扶是由广安市邻水县人民医院牵头对口支援我院，项目资金主要用于重点提升医疗技术，加强科室建设。</w:t>
      </w:r>
      <w:r>
        <w:rPr>
          <w:rFonts w:ascii="仿宋" w:hAnsi="仿宋" w:eastAsia="仿宋" w:cs="宋体"/>
          <w:sz w:val="32"/>
          <w:szCs w:val="32"/>
        </w:rPr>
        <w:br w:type="textWrapping"/>
      </w:r>
      <w:r>
        <w:rPr>
          <w:rFonts w:ascii="仿宋" w:hAnsi="仿宋" w:eastAsia="仿宋" w:cs="宋体"/>
          <w:sz w:val="32"/>
          <w:szCs w:val="32"/>
        </w:rPr>
        <w:t>(二)项目绩效目标。</w:t>
      </w:r>
    </w:p>
    <w:p>
      <w:pPr>
        <w:tabs>
          <w:tab w:val="left" w:pos="287"/>
        </w:tabs>
        <w:jc w:val="left"/>
        <w:rPr>
          <w:rFonts w:hint="eastAsia" w:ascii="仿宋" w:hAnsi="仿宋" w:eastAsia="仿宋" w:cs="仿宋"/>
          <w:kern w:val="0"/>
          <w:sz w:val="32"/>
          <w:szCs w:val="32"/>
        </w:rPr>
      </w:pPr>
      <w:r>
        <w:rPr>
          <w:rFonts w:hint="eastAsia" w:ascii="仿宋" w:hAnsi="仿宋" w:eastAsia="仿宋" w:cs="仿宋"/>
          <w:kern w:val="0"/>
          <w:sz w:val="32"/>
          <w:szCs w:val="32"/>
        </w:rPr>
        <w:t>1、项目主要内容：提升医疗技术，加强科室建设。</w:t>
      </w:r>
    </w:p>
    <w:p>
      <w:pPr>
        <w:tabs>
          <w:tab w:val="left" w:pos="287"/>
        </w:tabs>
        <w:jc w:val="left"/>
        <w:rPr>
          <w:rFonts w:hint="eastAsia" w:ascii="仿宋" w:hAnsi="仿宋" w:eastAsia="仿宋" w:cs="仿宋"/>
          <w:kern w:val="0"/>
          <w:sz w:val="32"/>
          <w:szCs w:val="32"/>
        </w:rPr>
      </w:pPr>
      <w:r>
        <w:rPr>
          <w:rFonts w:hint="eastAsia" w:ascii="仿宋" w:hAnsi="仿宋" w:eastAsia="仿宋" w:cs="仿宋"/>
          <w:kern w:val="0"/>
          <w:sz w:val="32"/>
          <w:szCs w:val="32"/>
        </w:rPr>
        <w:t>2、项目应实现的具体绩效目标：赴广安市人民医院学习进修人员经费。</w:t>
      </w:r>
    </w:p>
    <w:p>
      <w:pPr>
        <w:numPr>
          <w:ilvl w:val="0"/>
          <w:numId w:val="9"/>
        </w:numPr>
        <w:tabs>
          <w:tab w:val="left" w:pos="287"/>
          <w:tab w:val="clear" w:pos="312"/>
        </w:tabs>
        <w:ind w:left="210" w:leftChars="100"/>
        <w:jc w:val="left"/>
        <w:rPr>
          <w:rFonts w:ascii="仿宋" w:hAnsi="仿宋" w:eastAsia="仿宋" w:cs="宋体"/>
          <w:sz w:val="32"/>
          <w:szCs w:val="32"/>
        </w:rPr>
      </w:pPr>
      <w:r>
        <w:rPr>
          <w:rFonts w:ascii="仿宋" w:hAnsi="仿宋" w:eastAsia="仿宋" w:cs="宋体"/>
          <w:sz w:val="32"/>
          <w:szCs w:val="32"/>
        </w:rPr>
        <w:t>项目资金申报相符性。</w:t>
      </w:r>
    </w:p>
    <w:p>
      <w:pPr>
        <w:tabs>
          <w:tab w:val="left" w:pos="287"/>
        </w:tabs>
        <w:jc w:val="left"/>
        <w:rPr>
          <w:rFonts w:hint="eastAsia" w:ascii="仿宋" w:hAnsi="仿宋" w:eastAsia="仿宋" w:cs="仿宋"/>
          <w:kern w:val="0"/>
          <w:sz w:val="32"/>
          <w:szCs w:val="32"/>
        </w:rPr>
      </w:pPr>
      <w:r>
        <w:rPr>
          <w:rFonts w:hint="eastAsia" w:ascii="仿宋" w:hAnsi="仿宋" w:eastAsia="仿宋" w:cs="仿宋"/>
          <w:kern w:val="0"/>
          <w:sz w:val="32"/>
          <w:szCs w:val="32"/>
        </w:rPr>
        <w:t>该资金申报内容与实际相符，申报目标合理可行。</w:t>
      </w:r>
    </w:p>
    <w:p>
      <w:pPr>
        <w:tabs>
          <w:tab w:val="left" w:pos="287"/>
        </w:tabs>
        <w:ind w:left="210" w:leftChars="100"/>
        <w:jc w:val="left"/>
        <w:rPr>
          <w:rFonts w:ascii="仿宋" w:hAnsi="仿宋" w:eastAsia="仿宋" w:cs="宋体"/>
          <w:sz w:val="32"/>
          <w:szCs w:val="32"/>
        </w:rPr>
      </w:pPr>
      <w:r>
        <w:rPr>
          <w:rFonts w:ascii="仿宋" w:hAnsi="仿宋" w:eastAsia="仿宋" w:cs="宋体"/>
          <w:sz w:val="32"/>
          <w:szCs w:val="32"/>
        </w:rPr>
        <w:t>二、项目实施及管理情况</w:t>
      </w:r>
      <w:r>
        <w:rPr>
          <w:rFonts w:ascii="仿宋" w:hAnsi="仿宋" w:eastAsia="仿宋" w:cs="宋体"/>
          <w:sz w:val="32"/>
          <w:szCs w:val="32"/>
        </w:rPr>
        <w:br w:type="textWrapping"/>
      </w:r>
      <w:r>
        <w:rPr>
          <w:rFonts w:ascii="仿宋" w:hAnsi="仿宋" w:eastAsia="仿宋" w:cs="宋体"/>
          <w:sz w:val="32"/>
          <w:szCs w:val="32"/>
        </w:rPr>
        <w:t>(一)资金计划、到位及使用情况。</w:t>
      </w:r>
      <w:r>
        <w:rPr>
          <w:rFonts w:ascii="仿宋" w:hAnsi="仿宋" w:eastAsia="仿宋" w:cs="宋体"/>
          <w:sz w:val="32"/>
          <w:szCs w:val="32"/>
        </w:rPr>
        <w:br w:type="textWrapping"/>
      </w:r>
      <w:r>
        <w:rPr>
          <w:rFonts w:ascii="仿宋" w:hAnsi="仿宋" w:eastAsia="仿宋" w:cs="仿宋"/>
          <w:kern w:val="0"/>
          <w:sz w:val="32"/>
          <w:szCs w:val="32"/>
        </w:rPr>
        <w:t>1、资金计划及到位。</w:t>
      </w:r>
      <w:r>
        <w:rPr>
          <w:rFonts w:hint="eastAsia" w:ascii="仿宋" w:hAnsi="仿宋" w:eastAsia="仿宋" w:cs="仿宋"/>
          <w:kern w:val="0"/>
          <w:sz w:val="32"/>
          <w:szCs w:val="32"/>
        </w:rPr>
        <w:t>“院对院”结对项目年初预算资金2万元/年，批复资金2万元/年；截止2022年12月，计划资金全部到位，共计2万元/年</w:t>
      </w:r>
      <w:r>
        <w:rPr>
          <w:rFonts w:ascii="仿宋" w:hAnsi="仿宋" w:eastAsia="仿宋" w:cs="仿宋"/>
          <w:kern w:val="0"/>
          <w:sz w:val="32"/>
          <w:szCs w:val="32"/>
        </w:rPr>
        <w:t>。</w:t>
      </w:r>
      <w:r>
        <w:rPr>
          <w:rFonts w:ascii="仿宋" w:hAnsi="仿宋" w:eastAsia="仿宋" w:cs="宋体"/>
          <w:sz w:val="32"/>
          <w:szCs w:val="32"/>
        </w:rPr>
        <w:br w:type="textWrapping"/>
      </w:r>
      <w:r>
        <w:rPr>
          <w:rFonts w:ascii="仿宋" w:hAnsi="仿宋" w:eastAsia="仿宋" w:cs="仿宋"/>
          <w:kern w:val="0"/>
          <w:sz w:val="32"/>
          <w:szCs w:val="32"/>
        </w:rPr>
        <w:t>2、资金使用。</w:t>
      </w:r>
      <w:r>
        <w:rPr>
          <w:rFonts w:hint="eastAsia" w:ascii="仿宋" w:hAnsi="仿宋" w:eastAsia="仿宋" w:cs="仿宋"/>
          <w:kern w:val="0"/>
          <w:sz w:val="32"/>
          <w:szCs w:val="32"/>
        </w:rPr>
        <w:t>截止2022年12月底，“院对院”项目资金共计2万元/年，已支付2万元/年，主要用于：赴广安市邻水县人民医院参观学习交流经费、赴广安市党委党校学习以及广安市第一人民医院进修学习人员经费。</w:t>
      </w:r>
    </w:p>
    <w:p>
      <w:pPr>
        <w:tabs>
          <w:tab w:val="left" w:pos="287"/>
        </w:tabs>
        <w:ind w:left="210" w:leftChars="100"/>
        <w:jc w:val="left"/>
        <w:rPr>
          <w:rFonts w:ascii="仿宋" w:hAnsi="仿宋" w:eastAsia="仿宋" w:cs="仿宋"/>
          <w:kern w:val="0"/>
          <w:sz w:val="32"/>
          <w:szCs w:val="32"/>
        </w:rPr>
      </w:pPr>
      <w:r>
        <w:rPr>
          <w:rFonts w:ascii="仿宋" w:hAnsi="仿宋" w:eastAsia="仿宋" w:cs="宋体"/>
          <w:sz w:val="32"/>
          <w:szCs w:val="32"/>
        </w:rPr>
        <w:t>(二)项目财务管理情况。</w:t>
      </w:r>
      <w:r>
        <w:rPr>
          <w:rFonts w:ascii="仿宋" w:hAnsi="仿宋" w:eastAsia="仿宋" w:cs="宋体"/>
          <w:sz w:val="32"/>
          <w:szCs w:val="32"/>
        </w:rPr>
        <w:br w:type="textWrapping"/>
      </w:r>
      <w:r>
        <w:rPr>
          <w:rFonts w:hint="eastAsia" w:ascii="仿宋" w:hAnsi="仿宋" w:eastAsia="仿宋" w:cs="仿宋"/>
          <w:kern w:val="0"/>
          <w:sz w:val="32"/>
          <w:szCs w:val="32"/>
        </w:rPr>
        <w:t xml:space="preserve">  我院有健全的财务管理制度，且严格按照财务管理制度执行，财务处理及时，会计核算规范。</w:t>
      </w:r>
      <w:r>
        <w:rPr>
          <w:rFonts w:ascii="仿宋" w:hAnsi="仿宋" w:eastAsia="仿宋" w:cs="宋体"/>
          <w:sz w:val="32"/>
          <w:szCs w:val="32"/>
        </w:rPr>
        <w:br w:type="textWrapping"/>
      </w:r>
      <w:r>
        <w:rPr>
          <w:rFonts w:ascii="仿宋" w:hAnsi="仿宋" w:eastAsia="仿宋" w:cs="宋体"/>
          <w:sz w:val="32"/>
          <w:szCs w:val="32"/>
        </w:rPr>
        <w:t>(三)项目组织实施情况。</w:t>
      </w:r>
      <w:r>
        <w:rPr>
          <w:rFonts w:ascii="仿宋" w:hAnsi="仿宋" w:eastAsia="仿宋" w:cs="宋体"/>
          <w:sz w:val="32"/>
          <w:szCs w:val="32"/>
        </w:rPr>
        <w:br w:type="textWrapping"/>
      </w:r>
      <w:r>
        <w:rPr>
          <w:rFonts w:hint="eastAsia" w:ascii="仿宋" w:hAnsi="仿宋" w:eastAsia="仿宋" w:cs="仿宋"/>
          <w:kern w:val="0"/>
          <w:sz w:val="32"/>
          <w:szCs w:val="32"/>
        </w:rPr>
        <w:t xml:space="preserve">  此项目资金为广安市结对帮扶资金，资金按时按量支付到位。</w:t>
      </w:r>
    </w:p>
    <w:p>
      <w:pPr>
        <w:tabs>
          <w:tab w:val="left" w:pos="287"/>
        </w:tabs>
        <w:spacing w:after="240"/>
        <w:ind w:left="287"/>
        <w:jc w:val="left"/>
        <w:rPr>
          <w:rFonts w:ascii="仿宋" w:hAnsi="仿宋" w:eastAsia="仿宋"/>
          <w:sz w:val="32"/>
          <w:szCs w:val="32"/>
        </w:rPr>
      </w:pPr>
      <w:r>
        <w:rPr>
          <w:rFonts w:ascii="仿宋" w:hAnsi="仿宋" w:eastAsia="仿宋" w:cs="宋体"/>
          <w:sz w:val="32"/>
          <w:szCs w:val="32"/>
        </w:rPr>
        <w:t>三、目标完成情况</w:t>
      </w:r>
      <w:r>
        <w:rPr>
          <w:rFonts w:ascii="仿宋" w:hAnsi="仿宋" w:eastAsia="仿宋" w:cs="宋体"/>
          <w:sz w:val="32"/>
          <w:szCs w:val="32"/>
        </w:rPr>
        <w:br w:type="textWrapping"/>
      </w:r>
      <w:r>
        <w:rPr>
          <w:rFonts w:ascii="仿宋" w:hAnsi="仿宋" w:eastAsia="仿宋" w:cs="宋体"/>
          <w:sz w:val="32"/>
          <w:szCs w:val="32"/>
        </w:rPr>
        <w:t>(一)目标任务量完成情况。</w:t>
      </w:r>
      <w:r>
        <w:rPr>
          <w:rFonts w:ascii="仿宋" w:hAnsi="仿宋" w:eastAsia="仿宋" w:cs="宋体"/>
          <w:sz w:val="32"/>
          <w:szCs w:val="32"/>
        </w:rPr>
        <w:br w:type="textWrapping"/>
      </w:r>
      <w:r>
        <w:rPr>
          <w:rFonts w:hint="eastAsia" w:ascii="仿宋" w:hAnsi="仿宋" w:eastAsia="仿宋" w:cs="宋体"/>
          <w:sz w:val="32"/>
          <w:szCs w:val="32"/>
        </w:rPr>
        <w:t xml:space="preserve">   截止2022年12月31日，“院对院”结对项目完成12个月，已支付资金2万元。</w:t>
      </w:r>
      <w:r>
        <w:rPr>
          <w:rFonts w:ascii="仿宋" w:hAnsi="仿宋" w:eastAsia="仿宋" w:cs="宋体"/>
          <w:sz w:val="32"/>
          <w:szCs w:val="32"/>
        </w:rPr>
        <w:br w:type="textWrapping"/>
      </w:r>
      <w:r>
        <w:rPr>
          <w:rFonts w:ascii="仿宋" w:hAnsi="仿宋" w:eastAsia="仿宋" w:cs="宋体"/>
          <w:sz w:val="32"/>
          <w:szCs w:val="32"/>
        </w:rPr>
        <w:t>(二)目标质量完成情况。</w:t>
      </w:r>
      <w:r>
        <w:rPr>
          <w:rFonts w:ascii="仿宋" w:hAnsi="仿宋" w:eastAsia="仿宋" w:cs="宋体"/>
          <w:sz w:val="32"/>
          <w:szCs w:val="32"/>
        </w:rPr>
        <w:br w:type="textWrapping"/>
      </w:r>
      <w:r>
        <w:rPr>
          <w:rFonts w:hint="eastAsia" w:ascii="仿宋" w:hAnsi="仿宋" w:eastAsia="仿宋" w:cs="宋体"/>
          <w:sz w:val="32"/>
          <w:szCs w:val="32"/>
        </w:rPr>
        <w:t xml:space="preserve">  “院对院”结对项目在上级有关部门的关心、帮助下、在院领导的领导下，顺利推进，圆满完成任务，满意度为100%。</w:t>
      </w:r>
      <w:r>
        <w:rPr>
          <w:rFonts w:ascii="仿宋" w:hAnsi="仿宋" w:eastAsia="仿宋" w:cs="宋体"/>
          <w:sz w:val="32"/>
          <w:szCs w:val="32"/>
        </w:rPr>
        <w:br w:type="textWrapping"/>
      </w:r>
      <w:r>
        <w:rPr>
          <w:rFonts w:ascii="仿宋" w:hAnsi="仿宋" w:eastAsia="仿宋" w:cs="宋体"/>
          <w:sz w:val="32"/>
          <w:szCs w:val="32"/>
        </w:rPr>
        <w:t>(三)目标进度完成情况。</w:t>
      </w:r>
      <w:r>
        <w:rPr>
          <w:rFonts w:ascii="仿宋" w:hAnsi="仿宋" w:eastAsia="仿宋" w:cs="宋体"/>
          <w:sz w:val="32"/>
          <w:szCs w:val="32"/>
        </w:rPr>
        <w:br w:type="textWrapping"/>
      </w:r>
      <w:r>
        <w:rPr>
          <w:rFonts w:hint="eastAsia" w:ascii="仿宋" w:hAnsi="仿宋" w:eastAsia="仿宋" w:cs="宋体"/>
          <w:sz w:val="32"/>
          <w:szCs w:val="32"/>
        </w:rPr>
        <w:t>截止2022年12月底，“院对院”结对项目完成较好。</w:t>
      </w:r>
      <w:r>
        <w:rPr>
          <w:rFonts w:ascii="仿宋" w:hAnsi="仿宋" w:eastAsia="仿宋" w:cs="宋体"/>
          <w:sz w:val="32"/>
          <w:szCs w:val="32"/>
        </w:rPr>
        <w:br w:type="textWrapping"/>
      </w:r>
      <w:r>
        <w:rPr>
          <w:rFonts w:ascii="仿宋" w:hAnsi="仿宋" w:eastAsia="仿宋" w:cs="宋体"/>
          <w:sz w:val="32"/>
          <w:szCs w:val="32"/>
        </w:rPr>
        <w:t>四、项目效益情况</w:t>
      </w:r>
      <w:r>
        <w:rPr>
          <w:rFonts w:ascii="仿宋" w:hAnsi="仿宋" w:eastAsia="仿宋" w:cs="宋体"/>
          <w:sz w:val="32"/>
          <w:szCs w:val="32"/>
        </w:rPr>
        <w:br w:type="textWrapping"/>
      </w:r>
      <w:r>
        <w:rPr>
          <w:rFonts w:hint="eastAsia" w:ascii="仿宋" w:hAnsi="仿宋" w:eastAsia="仿宋" w:cs="宋体"/>
          <w:sz w:val="32"/>
          <w:szCs w:val="32"/>
        </w:rPr>
        <w:t xml:space="preserve">  “院对院”结对项目管理实行中带来了一定的社会效率和经济效率，该项目的实施提高医务人员的综合业务能力，也大力推动院科室建设。</w:t>
      </w:r>
      <w:r>
        <w:rPr>
          <w:rFonts w:ascii="仿宋" w:hAnsi="仿宋" w:eastAsia="仿宋" w:cs="宋体"/>
          <w:sz w:val="32"/>
          <w:szCs w:val="32"/>
        </w:rPr>
        <w:br w:type="textWrapping"/>
      </w:r>
      <w:r>
        <w:rPr>
          <w:rFonts w:ascii="仿宋" w:hAnsi="仿宋" w:eastAsia="仿宋" w:cs="宋体"/>
          <w:sz w:val="32"/>
          <w:szCs w:val="32"/>
        </w:rPr>
        <w:t>五、</w:t>
      </w:r>
      <w:r>
        <w:rPr>
          <w:rFonts w:hint="eastAsia" w:ascii="仿宋" w:hAnsi="仿宋" w:eastAsia="仿宋" w:cs="宋体"/>
          <w:sz w:val="32"/>
          <w:szCs w:val="32"/>
        </w:rPr>
        <w:t>评价结论及建议</w:t>
      </w:r>
      <w:r>
        <w:rPr>
          <w:rFonts w:ascii="仿宋" w:hAnsi="仿宋" w:eastAsia="仿宋" w:cs="宋体"/>
          <w:sz w:val="32"/>
          <w:szCs w:val="32"/>
        </w:rPr>
        <w:br w:type="textWrapping"/>
      </w:r>
      <w:r>
        <w:rPr>
          <w:rFonts w:ascii="仿宋" w:hAnsi="仿宋" w:eastAsia="仿宋" w:cs="宋体"/>
          <w:sz w:val="32"/>
          <w:szCs w:val="32"/>
        </w:rPr>
        <w:t>(一)</w:t>
      </w:r>
      <w:r>
        <w:rPr>
          <w:rFonts w:hint="eastAsia" w:ascii="仿宋" w:hAnsi="仿宋" w:eastAsia="仿宋" w:cs="宋体"/>
          <w:sz w:val="32"/>
          <w:szCs w:val="32"/>
        </w:rPr>
        <w:t>评价结论</w:t>
      </w:r>
      <w:r>
        <w:rPr>
          <w:rFonts w:ascii="仿宋" w:hAnsi="仿宋" w:eastAsia="仿宋" w:cs="宋体"/>
          <w:sz w:val="32"/>
          <w:szCs w:val="32"/>
        </w:rPr>
        <w:t>。</w:t>
      </w:r>
      <w:r>
        <w:rPr>
          <w:rFonts w:ascii="仿宋" w:hAnsi="仿宋" w:eastAsia="仿宋" w:cs="宋体"/>
          <w:sz w:val="32"/>
          <w:szCs w:val="32"/>
        </w:rPr>
        <w:br w:type="textWrapping"/>
      </w:r>
      <w:r>
        <w:rPr>
          <w:rFonts w:hint="eastAsia" w:ascii="仿宋" w:hAnsi="仿宋" w:eastAsia="仿宋" w:cs="宋体"/>
          <w:sz w:val="32"/>
          <w:szCs w:val="32"/>
        </w:rPr>
        <w:t xml:space="preserve">   </w:t>
      </w:r>
      <w:r>
        <w:rPr>
          <w:rFonts w:ascii="仿宋" w:hAnsi="仿宋" w:eastAsia="仿宋" w:cs="宋体"/>
          <w:sz w:val="32"/>
          <w:szCs w:val="32"/>
        </w:rPr>
        <w:t>按照财政要求专款专用，账务处理及时，会计核算规范；达到预期社会效益，受益群众满意度较高。</w:t>
      </w:r>
      <w:r>
        <w:rPr>
          <w:rFonts w:ascii="仿宋" w:hAnsi="仿宋" w:eastAsia="仿宋" w:cs="宋体"/>
          <w:sz w:val="32"/>
          <w:szCs w:val="32"/>
        </w:rPr>
        <w:br w:type="textWrapping"/>
      </w:r>
      <w:r>
        <w:rPr>
          <w:rFonts w:ascii="仿宋" w:hAnsi="仿宋" w:eastAsia="仿宋" w:cs="宋体"/>
          <w:sz w:val="32"/>
          <w:szCs w:val="32"/>
        </w:rPr>
        <w:t>（二）存在的问题</w:t>
      </w:r>
      <w:r>
        <w:rPr>
          <w:rFonts w:ascii="仿宋" w:hAnsi="仿宋" w:eastAsia="仿宋" w:cs="宋体"/>
          <w:sz w:val="32"/>
          <w:szCs w:val="32"/>
        </w:rPr>
        <w:br w:type="textWrapping"/>
      </w:r>
      <w:r>
        <w:rPr>
          <w:rFonts w:ascii="仿宋" w:hAnsi="仿宋" w:eastAsia="仿宋" w:cs="宋体"/>
          <w:sz w:val="32"/>
          <w:szCs w:val="32"/>
        </w:rPr>
        <w:t>无问题。</w:t>
      </w:r>
      <w:r>
        <w:rPr>
          <w:rFonts w:ascii="仿宋" w:hAnsi="仿宋" w:eastAsia="仿宋" w:cs="宋体"/>
          <w:sz w:val="32"/>
          <w:szCs w:val="32"/>
        </w:rPr>
        <w:br w:type="textWrapping"/>
      </w:r>
      <w:r>
        <w:rPr>
          <w:rFonts w:ascii="仿宋" w:hAnsi="仿宋" w:eastAsia="仿宋" w:cs="宋体"/>
          <w:sz w:val="32"/>
          <w:szCs w:val="32"/>
        </w:rPr>
        <w:t>（三）相关建议</w:t>
      </w:r>
      <w:r>
        <w:rPr>
          <w:rFonts w:ascii="仿宋" w:hAnsi="仿宋" w:eastAsia="仿宋" w:cs="宋体"/>
          <w:sz w:val="32"/>
          <w:szCs w:val="32"/>
        </w:rPr>
        <w:br w:type="textWrapping"/>
      </w:r>
      <w:r>
        <w:rPr>
          <w:rFonts w:ascii="仿宋" w:hAnsi="仿宋" w:eastAsia="仿宋" w:cs="宋体"/>
          <w:sz w:val="32"/>
          <w:szCs w:val="32"/>
        </w:rPr>
        <w:t>无建议。</w:t>
      </w:r>
      <w:r>
        <w:rPr>
          <w:rFonts w:ascii="仿宋" w:hAnsi="仿宋" w:eastAsia="仿宋" w:cs="宋体"/>
          <w:sz w:val="32"/>
          <w:szCs w:val="32"/>
        </w:rPr>
        <w:br w:type="textWrapping"/>
      </w:r>
    </w:p>
    <w:p>
      <w:pPr>
        <w:pStyle w:val="30"/>
        <w:tabs>
          <w:tab w:val="left" w:pos="3552"/>
        </w:tabs>
        <w:spacing w:line="578" w:lineRule="exact"/>
        <w:ind w:firstLine="1680" w:firstLineChars="600"/>
        <w:rPr>
          <w:rFonts w:hint="eastAsia"/>
          <w:lang w:val="en-US"/>
        </w:rPr>
      </w:pPr>
    </w:p>
    <w:p>
      <w:pPr>
        <w:pStyle w:val="30"/>
        <w:spacing w:line="578" w:lineRule="exact"/>
        <w:ind w:firstLine="1680" w:firstLineChars="600"/>
        <w:rPr>
          <w:rFonts w:ascii="仿宋" w:hAnsi="仿宋" w:eastAsia="仿宋"/>
          <w:sz w:val="32"/>
          <w:szCs w:val="32"/>
          <w:lang w:val="en-US"/>
        </w:rPr>
      </w:pPr>
      <w:r>
        <w:br w:type="page"/>
      </w:r>
    </w:p>
    <w:tbl>
      <w:tblPr>
        <w:tblStyle w:val="12"/>
        <w:tblW w:w="5115" w:type="pct"/>
        <w:tblInd w:w="-1" w:type="dxa"/>
        <w:tblLayout w:type="autofit"/>
        <w:tblCellMar>
          <w:top w:w="0" w:type="dxa"/>
          <w:left w:w="0" w:type="dxa"/>
          <w:bottom w:w="0" w:type="dxa"/>
          <w:right w:w="0" w:type="dxa"/>
        </w:tblCellMar>
      </w:tblPr>
      <w:tblGrid>
        <w:gridCol w:w="399"/>
        <w:gridCol w:w="1220"/>
        <w:gridCol w:w="1058"/>
        <w:gridCol w:w="1354"/>
        <w:gridCol w:w="303"/>
        <w:gridCol w:w="999"/>
        <w:gridCol w:w="310"/>
        <w:gridCol w:w="682"/>
        <w:gridCol w:w="394"/>
        <w:gridCol w:w="265"/>
        <w:gridCol w:w="1538"/>
      </w:tblGrid>
      <w:tr>
        <w:tblPrEx>
          <w:tblCellMar>
            <w:top w:w="0" w:type="dxa"/>
            <w:left w:w="0" w:type="dxa"/>
            <w:bottom w:w="0" w:type="dxa"/>
            <w:right w:w="0" w:type="dxa"/>
          </w:tblCellMar>
        </w:tblPrEx>
        <w:trPr>
          <w:trHeight w:val="286" w:hRule="atLeast"/>
        </w:trPr>
        <w:tc>
          <w:tcPr>
            <w:tcW w:w="229"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700"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607"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777"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174"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573"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178"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390"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26"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152"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882"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904" w:hRule="atLeast"/>
        </w:trPr>
        <w:tc>
          <w:tcPr>
            <w:tcW w:w="4889" w:type="pct"/>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部门预算项目支出绩效自评表（2022年度）</w:t>
            </w:r>
          </w:p>
        </w:tc>
      </w:tr>
      <w:tr>
        <w:tblPrEx>
          <w:tblCellMar>
            <w:top w:w="0" w:type="dxa"/>
            <w:left w:w="0" w:type="dxa"/>
            <w:bottom w:w="0" w:type="dxa"/>
            <w:right w:w="0" w:type="dxa"/>
          </w:tblCellMar>
        </w:tblPrEx>
        <w:trPr>
          <w:trHeight w:val="286" w:hRule="atLeast"/>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3959"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51082322T000007030163-“院对院”结对</w:t>
            </w:r>
          </w:p>
        </w:tc>
      </w:tr>
      <w:tr>
        <w:tblPrEx>
          <w:tblCellMar>
            <w:top w:w="0" w:type="dxa"/>
            <w:left w:w="0" w:type="dxa"/>
            <w:bottom w:w="0" w:type="dxa"/>
            <w:right w:w="0" w:type="dxa"/>
          </w:tblCellMar>
        </w:tblPrEx>
        <w:trPr>
          <w:trHeight w:val="512" w:hRule="atLeast"/>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2309"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剑阁县卫生健康局部门</w:t>
            </w:r>
          </w:p>
        </w:tc>
        <w:tc>
          <w:tcPr>
            <w:tcW w:w="390" w:type="pct"/>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剑阁县公兴镇中心卫生院</w:t>
            </w:r>
          </w:p>
        </w:tc>
      </w:tr>
      <w:tr>
        <w:tblPrEx>
          <w:tblCellMar>
            <w:top w:w="0" w:type="dxa"/>
            <w:left w:w="0" w:type="dxa"/>
            <w:bottom w:w="0" w:type="dxa"/>
            <w:right w:w="0" w:type="dxa"/>
          </w:tblCellMar>
        </w:tblPrEx>
        <w:trPr>
          <w:trHeight w:val="286"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2309"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0" w:type="dxa"/>
            <w:bottom w:w="0" w:type="dxa"/>
            <w:right w:w="0" w:type="dxa"/>
          </w:tblCellMar>
        </w:tblPrEx>
        <w:trPr>
          <w:trHeight w:val="708"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309"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重点提升医疗技术，加强科室建设</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3959" w:type="pct"/>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361"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92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0" w:type="dxa"/>
            <w:bottom w:w="0" w:type="dxa"/>
            <w:right w:w="0" w:type="dxa"/>
          </w:tblCellMar>
        </w:tblPrEx>
        <w:trPr>
          <w:trHeight w:val="38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92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92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47"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2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2"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2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79"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925"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0" w:type="dxa"/>
            <w:bottom w:w="0" w:type="dxa"/>
            <w:right w:w="0" w:type="dxa"/>
          </w:tblCellMar>
        </w:tblPrEx>
        <w:trPr>
          <w:trHeight w:val="339"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任务完成覆盖率</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339"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完成时间</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339"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卫生机构覆盖率</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339"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提升医院服务能力</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452"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帮扶对象满意度指标</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w:t>
            </w:r>
          </w:p>
        </w:tc>
        <w:tc>
          <w:tcPr>
            <w:tcW w:w="17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3629"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结合自评情况，分析存在的问题及原因。（200字以内）</w:t>
            </w:r>
          </w:p>
        </w:tc>
      </w:tr>
      <w:tr>
        <w:tblPrEx>
          <w:tblCellMar>
            <w:top w:w="0" w:type="dxa"/>
            <w:left w:w="0" w:type="dxa"/>
            <w:bottom w:w="0" w:type="dxa"/>
            <w:right w:w="0" w:type="dxa"/>
          </w:tblCellMar>
        </w:tblPrEx>
        <w:trPr>
          <w:trHeight w:val="63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2487"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2401"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0" w:type="dxa"/>
            <w:bottom w:w="0" w:type="dxa"/>
            <w:right w:w="0" w:type="dxa"/>
          </w:tblCellMar>
        </w:tblPrEx>
        <w:trPr>
          <w:trHeight w:val="286" w:hRule="atLeast"/>
        </w:trPr>
        <w:tc>
          <w:tcPr>
            <w:tcW w:w="229"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700"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607"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777"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174"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573"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178"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390"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26"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152"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882" w:type="pct"/>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18"/>
                <w:szCs w:val="18"/>
              </w:rPr>
            </w:pP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bookmarkStart w:id="84" w:name="_Toc32559"/>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80"/>
      <w:bookmarkEnd w:id="83"/>
      <w:bookmarkEnd w:id="84"/>
      <w:bookmarkStart w:id="85" w:name="_Toc15396619"/>
    </w:p>
    <w:p>
      <w:pPr>
        <w:pStyle w:val="4"/>
        <w:rPr>
          <w:rFonts w:ascii="仿宋" w:hAnsi="仿宋" w:eastAsia="仿宋"/>
        </w:rPr>
      </w:pPr>
      <w:bookmarkStart w:id="86" w:name="_Toc732"/>
      <w:r>
        <w:rPr>
          <w:rFonts w:hint="eastAsia" w:ascii="仿宋" w:hAnsi="仿宋" w:eastAsia="仿宋"/>
          <w:b w:val="0"/>
        </w:rPr>
        <w:t>一、收</w:t>
      </w:r>
      <w:r>
        <w:rPr>
          <w:rStyle w:val="25"/>
          <w:rFonts w:hint="eastAsia" w:ascii="仿宋" w:hAnsi="仿宋" w:eastAsia="仿宋"/>
          <w:b w:val="0"/>
          <w:bCs w:val="0"/>
        </w:rPr>
        <w:t>入支出决算总表</w:t>
      </w:r>
      <w:bookmarkEnd w:id="85"/>
      <w:bookmarkEnd w:id="86"/>
    </w:p>
    <w:p>
      <w:pPr>
        <w:pStyle w:val="4"/>
        <w:rPr>
          <w:rFonts w:ascii="仿宋" w:hAnsi="仿宋" w:eastAsia="仿宋"/>
        </w:rPr>
      </w:pPr>
      <w:bookmarkStart w:id="87" w:name="_Toc15396620"/>
      <w:bookmarkStart w:id="88" w:name="_Toc30238"/>
      <w:r>
        <w:rPr>
          <w:rFonts w:hint="eastAsia" w:ascii="仿宋" w:hAnsi="仿宋" w:eastAsia="仿宋"/>
          <w:b w:val="0"/>
        </w:rPr>
        <w:t>二、收</w:t>
      </w:r>
      <w:r>
        <w:rPr>
          <w:rStyle w:val="25"/>
          <w:rFonts w:hint="eastAsia" w:ascii="仿宋" w:hAnsi="仿宋" w:eastAsia="仿宋"/>
          <w:b w:val="0"/>
          <w:bCs w:val="0"/>
        </w:rPr>
        <w:t>入决算表</w:t>
      </w:r>
      <w:bookmarkEnd w:id="87"/>
      <w:bookmarkEnd w:id="88"/>
    </w:p>
    <w:p>
      <w:pPr>
        <w:pStyle w:val="4"/>
        <w:rPr>
          <w:rFonts w:ascii="仿宋" w:hAnsi="仿宋" w:eastAsia="仿宋"/>
        </w:rPr>
      </w:pPr>
      <w:bookmarkStart w:id="89" w:name="_Toc2090"/>
      <w:bookmarkStart w:id="90"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89"/>
      <w:bookmarkEnd w:id="90"/>
    </w:p>
    <w:p>
      <w:pPr>
        <w:pStyle w:val="4"/>
        <w:rPr>
          <w:rFonts w:ascii="仿宋" w:hAnsi="仿宋" w:eastAsia="仿宋"/>
          <w:b w:val="0"/>
        </w:rPr>
      </w:pPr>
      <w:bookmarkStart w:id="91" w:name="_Toc15396622"/>
      <w:bookmarkStart w:id="92" w:name="_Toc678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91"/>
      <w:bookmarkEnd w:id="92"/>
    </w:p>
    <w:p>
      <w:pPr>
        <w:pStyle w:val="4"/>
        <w:rPr>
          <w:rStyle w:val="25"/>
          <w:rFonts w:ascii="仿宋" w:hAnsi="仿宋" w:eastAsia="仿宋"/>
          <w:b w:val="0"/>
          <w:bCs w:val="0"/>
        </w:rPr>
      </w:pPr>
      <w:bookmarkStart w:id="93" w:name="_Toc15396623"/>
      <w:bookmarkStart w:id="94" w:name="_Toc9798"/>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93"/>
      <w:bookmarkEnd w:id="94"/>
      <w:bookmarkStart w:id="95" w:name="_Toc15396624"/>
    </w:p>
    <w:p>
      <w:pPr>
        <w:pStyle w:val="4"/>
        <w:rPr>
          <w:rFonts w:ascii="仿宋" w:hAnsi="仿宋" w:eastAsia="仿宋"/>
        </w:rPr>
      </w:pPr>
      <w:bookmarkStart w:id="96" w:name="_Toc9748"/>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95"/>
      <w:bookmarkEnd w:id="96"/>
    </w:p>
    <w:p>
      <w:pPr>
        <w:pStyle w:val="4"/>
        <w:rPr>
          <w:rFonts w:ascii="仿宋" w:hAnsi="仿宋" w:eastAsia="仿宋"/>
        </w:rPr>
      </w:pPr>
      <w:bookmarkStart w:id="97" w:name="_Toc15396625"/>
      <w:bookmarkStart w:id="98" w:name="_Toc15087"/>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97"/>
      <w:bookmarkEnd w:id="98"/>
    </w:p>
    <w:p>
      <w:pPr>
        <w:pStyle w:val="4"/>
        <w:rPr>
          <w:rFonts w:ascii="仿宋" w:hAnsi="仿宋" w:eastAsia="仿宋"/>
        </w:rPr>
      </w:pPr>
      <w:bookmarkStart w:id="99" w:name="_Toc1662"/>
      <w:bookmarkStart w:id="100"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99"/>
      <w:bookmarkEnd w:id="100"/>
    </w:p>
    <w:p>
      <w:pPr>
        <w:pStyle w:val="4"/>
        <w:rPr>
          <w:rFonts w:ascii="仿宋" w:hAnsi="仿宋" w:eastAsia="仿宋"/>
        </w:rPr>
      </w:pPr>
      <w:bookmarkStart w:id="101" w:name="_Toc28828"/>
      <w:bookmarkStart w:id="10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101"/>
      <w:bookmarkEnd w:id="102"/>
    </w:p>
    <w:p>
      <w:pPr>
        <w:pStyle w:val="4"/>
        <w:rPr>
          <w:rFonts w:ascii="仿宋" w:hAnsi="仿宋" w:eastAsia="仿宋"/>
        </w:rPr>
      </w:pPr>
      <w:bookmarkStart w:id="103" w:name="_Toc15396628"/>
      <w:bookmarkStart w:id="104" w:name="_Toc19020"/>
      <w:r>
        <w:rPr>
          <w:rStyle w:val="25"/>
          <w:rFonts w:hint="eastAsia" w:ascii="仿宋" w:hAnsi="仿宋" w:eastAsia="仿宋"/>
          <w:b w:val="0"/>
          <w:bCs w:val="0"/>
        </w:rPr>
        <w:t>十、</w:t>
      </w:r>
      <w:bookmarkEnd w:id="103"/>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04"/>
    </w:p>
    <w:p>
      <w:pPr>
        <w:pStyle w:val="4"/>
        <w:rPr>
          <w:rFonts w:ascii="仿宋" w:hAnsi="仿宋" w:eastAsia="仿宋"/>
        </w:rPr>
      </w:pPr>
      <w:bookmarkStart w:id="105" w:name="_Toc15396629"/>
      <w:bookmarkStart w:id="106" w:name="_Toc14799"/>
      <w:r>
        <w:rPr>
          <w:rStyle w:val="25"/>
          <w:rFonts w:hint="eastAsia" w:ascii="仿宋" w:hAnsi="仿宋" w:eastAsia="仿宋"/>
          <w:b w:val="0"/>
          <w:bCs w:val="0"/>
        </w:rPr>
        <w:t>十一、</w:t>
      </w:r>
      <w:bookmarkEnd w:id="105"/>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06"/>
    </w:p>
    <w:p>
      <w:pPr>
        <w:pStyle w:val="4"/>
        <w:rPr>
          <w:rFonts w:ascii="仿宋" w:hAnsi="仿宋" w:eastAsia="仿宋"/>
        </w:rPr>
      </w:pPr>
      <w:bookmarkStart w:id="107" w:name="_Toc15396630"/>
      <w:bookmarkStart w:id="108" w:name="_Toc26491"/>
      <w:r>
        <w:rPr>
          <w:rStyle w:val="25"/>
          <w:rFonts w:hint="eastAsia" w:ascii="仿宋" w:hAnsi="仿宋" w:eastAsia="仿宋"/>
          <w:b w:val="0"/>
          <w:bCs w:val="0"/>
        </w:rPr>
        <w:t>十二、</w:t>
      </w:r>
      <w:bookmarkEnd w:id="107"/>
      <w:r>
        <w:rPr>
          <w:rStyle w:val="25"/>
          <w:rFonts w:hint="eastAsia" w:ascii="仿宋" w:hAnsi="仿宋" w:eastAsia="仿宋"/>
          <w:b w:val="0"/>
          <w:bCs w:val="0"/>
        </w:rPr>
        <w:t>国有资本经营预算财政拨款支出决算表</w:t>
      </w:r>
      <w:bookmarkEnd w:id="108"/>
    </w:p>
    <w:p>
      <w:pPr>
        <w:pStyle w:val="4"/>
        <w:rPr>
          <w:rFonts w:eastAsia="仿宋"/>
        </w:rPr>
      </w:pPr>
      <w:bookmarkStart w:id="109" w:name="_Toc15396631"/>
      <w:bookmarkStart w:id="110" w:name="_Toc21514"/>
      <w:r>
        <w:rPr>
          <w:rStyle w:val="25"/>
          <w:rFonts w:hint="eastAsia" w:ascii="仿宋" w:hAnsi="仿宋" w:eastAsia="仿宋"/>
          <w:b w:val="0"/>
          <w:bCs w:val="0"/>
        </w:rPr>
        <w:t>十三、</w:t>
      </w:r>
      <w:bookmarkEnd w:id="109"/>
      <w:r>
        <w:rPr>
          <w:rStyle w:val="25"/>
          <w:rFonts w:hint="eastAsia" w:ascii="仿宋" w:hAnsi="仿宋" w:eastAsia="仿宋"/>
          <w:b w:val="0"/>
          <w:bCs w:val="0"/>
        </w:rPr>
        <w:t>财政拨款“三公”经费支出决算表</w:t>
      </w:r>
      <w:bookmarkEnd w:id="110"/>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F17EC"/>
    <w:multiLevelType w:val="singleLevel"/>
    <w:tmpl w:val="959F17EC"/>
    <w:lvl w:ilvl="0" w:tentative="0">
      <w:start w:val="1"/>
      <w:numFmt w:val="chineseCounting"/>
      <w:suff w:val="nothing"/>
      <w:lvlText w:val="（%1）"/>
      <w:lvlJc w:val="left"/>
      <w:rPr>
        <w:rFonts w:hint="eastAsia"/>
      </w:rPr>
    </w:lvl>
  </w:abstractNum>
  <w:abstractNum w:abstractNumId="1">
    <w:nsid w:val="A44F9608"/>
    <w:multiLevelType w:val="singleLevel"/>
    <w:tmpl w:val="A44F9608"/>
    <w:lvl w:ilvl="0" w:tentative="0">
      <w:start w:val="1"/>
      <w:numFmt w:val="decimal"/>
      <w:suff w:val="nothing"/>
      <w:lvlText w:val="%1、"/>
      <w:lvlJc w:val="left"/>
    </w:lvl>
  </w:abstractNum>
  <w:abstractNum w:abstractNumId="2">
    <w:nsid w:val="BA4C1ADC"/>
    <w:multiLevelType w:val="singleLevel"/>
    <w:tmpl w:val="BA4C1ADC"/>
    <w:lvl w:ilvl="0" w:tentative="0">
      <w:start w:val="1"/>
      <w:numFmt w:val="chineseCounting"/>
      <w:suff w:val="nothing"/>
      <w:lvlText w:val="%1、"/>
      <w:lvlJc w:val="left"/>
      <w:pPr>
        <w:ind w:left="287" w:firstLine="0"/>
      </w:pPr>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3FA7FBB"/>
    <w:multiLevelType w:val="singleLevel"/>
    <w:tmpl w:val="13FA7FBB"/>
    <w:lvl w:ilvl="0" w:tentative="0">
      <w:start w:val="1"/>
      <w:numFmt w:val="decimal"/>
      <w:lvlText w:val="%1."/>
      <w:lvlJc w:val="left"/>
      <w:pPr>
        <w:tabs>
          <w:tab w:val="left" w:pos="312"/>
        </w:tabs>
      </w:pPr>
    </w:lvl>
  </w:abstractNum>
  <w:abstractNum w:abstractNumId="7">
    <w:nsid w:val="3818A09A"/>
    <w:multiLevelType w:val="singleLevel"/>
    <w:tmpl w:val="3818A09A"/>
    <w:lvl w:ilvl="0" w:tentative="0">
      <w:start w:val="1"/>
      <w:numFmt w:val="chineseCounting"/>
      <w:suff w:val="nothing"/>
      <w:lvlText w:val="%1、"/>
      <w:lvlJc w:val="left"/>
      <w:rPr>
        <w:rFonts w:hint="eastAsia"/>
      </w:rPr>
    </w:lvl>
  </w:abstractNum>
  <w:abstractNum w:abstractNumId="8">
    <w:nsid w:val="3CB5996F"/>
    <w:multiLevelType w:val="singleLevel"/>
    <w:tmpl w:val="3CB5996F"/>
    <w:lvl w:ilvl="0" w:tentative="0">
      <w:start w:val="3"/>
      <w:numFmt w:val="chineseCounting"/>
      <w:lvlText w:val="(%1)"/>
      <w:lvlJc w:val="left"/>
      <w:pPr>
        <w:tabs>
          <w:tab w:val="left" w:pos="312"/>
        </w:tabs>
      </w:pPr>
      <w:rPr>
        <w:rFonts w:hint="eastAsia"/>
      </w:rPr>
    </w:lvl>
  </w:abstractNum>
  <w:num w:numId="1">
    <w:abstractNumId w:val="7"/>
  </w:num>
  <w:num w:numId="2">
    <w:abstractNumId w:val="5"/>
  </w:num>
  <w:num w:numId="3">
    <w:abstractNumId w:val="3"/>
  </w:num>
  <w:num w:numId="4">
    <w:abstractNumId w:val="4"/>
  </w:num>
  <w:num w:numId="5">
    <w:abstractNumId w:val="6"/>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181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1CE2"/>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B5CD6"/>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2AA2"/>
    <w:rsid w:val="00E568DF"/>
    <w:rsid w:val="00E57B88"/>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8A75169"/>
    <w:rsid w:val="0A2032A3"/>
    <w:rsid w:val="0AB705E4"/>
    <w:rsid w:val="0ADD636F"/>
    <w:rsid w:val="0B8A37D8"/>
    <w:rsid w:val="0EB007A1"/>
    <w:rsid w:val="0EF92C5E"/>
    <w:rsid w:val="10C055FF"/>
    <w:rsid w:val="114C189C"/>
    <w:rsid w:val="118107EC"/>
    <w:rsid w:val="11DD6519"/>
    <w:rsid w:val="139F43E0"/>
    <w:rsid w:val="16B80EB9"/>
    <w:rsid w:val="16BB723D"/>
    <w:rsid w:val="170D27FF"/>
    <w:rsid w:val="17D76548"/>
    <w:rsid w:val="18015F3F"/>
    <w:rsid w:val="1A6836E2"/>
    <w:rsid w:val="1BDB37F6"/>
    <w:rsid w:val="1BE8440E"/>
    <w:rsid w:val="1D155CEE"/>
    <w:rsid w:val="20CC33B3"/>
    <w:rsid w:val="20F57F95"/>
    <w:rsid w:val="222C5B8B"/>
    <w:rsid w:val="231A7392"/>
    <w:rsid w:val="23C06519"/>
    <w:rsid w:val="240371BF"/>
    <w:rsid w:val="25406175"/>
    <w:rsid w:val="25711CC6"/>
    <w:rsid w:val="25C741E6"/>
    <w:rsid w:val="27842671"/>
    <w:rsid w:val="29FD04D3"/>
    <w:rsid w:val="2A67634A"/>
    <w:rsid w:val="2ABE7A3E"/>
    <w:rsid w:val="2CA234A8"/>
    <w:rsid w:val="2EFA178C"/>
    <w:rsid w:val="30B46D73"/>
    <w:rsid w:val="30F64EFB"/>
    <w:rsid w:val="319F7F4E"/>
    <w:rsid w:val="35A83B1E"/>
    <w:rsid w:val="362B40DD"/>
    <w:rsid w:val="37437329"/>
    <w:rsid w:val="383D272C"/>
    <w:rsid w:val="39AE70AB"/>
    <w:rsid w:val="3C0C0783"/>
    <w:rsid w:val="3CC4108B"/>
    <w:rsid w:val="3F9F3A96"/>
    <w:rsid w:val="40DE707C"/>
    <w:rsid w:val="41252AA2"/>
    <w:rsid w:val="41BF6D25"/>
    <w:rsid w:val="45475E21"/>
    <w:rsid w:val="48BF60AB"/>
    <w:rsid w:val="493C27E9"/>
    <w:rsid w:val="496F39ED"/>
    <w:rsid w:val="49FF41D3"/>
    <w:rsid w:val="4A8C2E61"/>
    <w:rsid w:val="4BE068DB"/>
    <w:rsid w:val="4BF6002B"/>
    <w:rsid w:val="4CBC3B76"/>
    <w:rsid w:val="4ECE2238"/>
    <w:rsid w:val="512A17E8"/>
    <w:rsid w:val="51DB4B86"/>
    <w:rsid w:val="5290425D"/>
    <w:rsid w:val="540725A0"/>
    <w:rsid w:val="55333C3E"/>
    <w:rsid w:val="5C04507E"/>
    <w:rsid w:val="5E2C27BF"/>
    <w:rsid w:val="5FEA0235"/>
    <w:rsid w:val="6166248C"/>
    <w:rsid w:val="61694703"/>
    <w:rsid w:val="64CA39A1"/>
    <w:rsid w:val="69144A0D"/>
    <w:rsid w:val="693F6D5B"/>
    <w:rsid w:val="69630ADE"/>
    <w:rsid w:val="6A5564EE"/>
    <w:rsid w:val="6C2A47FA"/>
    <w:rsid w:val="6C4A05C8"/>
    <w:rsid w:val="6D3B1A89"/>
    <w:rsid w:val="6EDC3509"/>
    <w:rsid w:val="6F6D6939"/>
    <w:rsid w:val="705E556F"/>
    <w:rsid w:val="710C0E55"/>
    <w:rsid w:val="713F6856"/>
    <w:rsid w:val="71BF4EC2"/>
    <w:rsid w:val="72734D90"/>
    <w:rsid w:val="733F2EED"/>
    <w:rsid w:val="7412278C"/>
    <w:rsid w:val="74AE4C60"/>
    <w:rsid w:val="768E6AC1"/>
    <w:rsid w:val="76A54098"/>
    <w:rsid w:val="7833422B"/>
    <w:rsid w:val="79DB71FB"/>
    <w:rsid w:val="79E7B28D"/>
    <w:rsid w:val="7A8F37D9"/>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3.xml"/><Relationship Id="rId11" Type="http://schemas.openxmlformats.org/officeDocument/2006/relationships/image" Target="media/image1.png"/><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915;&#31639;&#20844;&#2432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Cache>
                <c:formatCode>General</c:formatCode>
                <c:ptCount val="6"/>
                <c:pt idx="0">
                  <c:v>642.78</c:v>
                </c:pt>
                <c:pt idx="1">
                  <c:v>0</c:v>
                </c:pt>
                <c:pt idx="2">
                  <c:v>0</c:v>
                </c:pt>
                <c:pt idx="3">
                  <c:v>1172.51</c:v>
                </c:pt>
                <c:pt idx="4">
                  <c:v>0</c:v>
                </c:pt>
                <c:pt idx="5">
                  <c:v>50.52</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0.344504531543941</c:v>
                </c:pt>
                <c:pt idx="1">
                  <c:v>0</c:v>
                </c:pt>
                <c:pt idx="2">
                  <c:v>0</c:v>
                </c:pt>
                <c:pt idx="3">
                  <c:v>0.628418756465021</c:v>
                </c:pt>
                <c:pt idx="4">
                  <c:v>0</c:v>
                </c:pt>
                <c:pt idx="5">
                  <c:v>0.0270767119910387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0.9989</c:v>
                </c:pt>
                <c:pt idx="1">
                  <c:v>0.0011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0.96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46E93-F0EB-4FEE-BB96-954F8437459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1488</Words>
  <Characters>8486</Characters>
  <Lines>70</Lines>
  <Paragraphs>19</Paragraphs>
  <TotalTime>1</TotalTime>
  <ScaleCrop>false</ScaleCrop>
  <LinksUpToDate>false</LinksUpToDate>
  <CharactersWithSpaces>9955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NO LOVE</cp:lastModifiedBy>
  <cp:lastPrinted>2023-07-31T02:35:00Z</cp:lastPrinted>
  <dcterms:modified xsi:type="dcterms:W3CDTF">2023-10-29T03:16:05Z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2ED6575C6E06435F81235C2B08E79CD6_12</vt:lpwstr>
  </property>
</Properties>
</file>