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8441"/>
      <w:bookmarkStart w:id="4" w:name="_Toc870"/>
      <w:bookmarkStart w:id="5" w:name="_Toc15377193"/>
      <w:bookmarkStart w:id="6" w:name="_Toc15377425"/>
      <w:bookmarkStart w:id="7" w:name="_Toc14812"/>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901"/>
      <w:bookmarkStart w:id="9" w:name="_Toc3887"/>
      <w:bookmarkStart w:id="10" w:name="_Toc15377194"/>
      <w:bookmarkStart w:id="11" w:name="_Toc15378442"/>
      <w:bookmarkStart w:id="12" w:name="_Toc15396476"/>
      <w:bookmarkStart w:id="13" w:name="_Toc15377426"/>
      <w:bookmarkStart w:id="14" w:name="_Toc15396598"/>
      <w:r>
        <w:rPr>
          <w:rFonts w:hint="eastAsia" w:ascii="方正小标宋简体" w:hAnsi="方正小标宋简体" w:eastAsia="方正小标宋简体" w:cs="方正小标宋简体"/>
          <w:sz w:val="72"/>
          <w:szCs w:val="72"/>
        </w:rPr>
        <w:t>剑阁县</w:t>
      </w:r>
      <w:bookmarkEnd w:id="0"/>
      <w:bookmarkStart w:id="15" w:name="_Toc15306268"/>
      <w:r>
        <w:rPr>
          <w:rFonts w:hint="eastAsia" w:ascii="方正小标宋简体" w:hAnsi="方正小标宋简体" w:eastAsia="方正小标宋简体" w:cs="方正小标宋简体"/>
          <w:sz w:val="72"/>
          <w:szCs w:val="72"/>
        </w:rPr>
        <w:t>羊岭镇卫生院</w:t>
      </w:r>
      <w:bookmarkEnd w:id="8"/>
      <w:bookmarkEnd w:id="9"/>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6" w:name="_Toc23540"/>
      <w:bookmarkStart w:id="17" w:name="_Toc28911"/>
      <w:r>
        <w:rPr>
          <w:rFonts w:hint="eastAsia" w:ascii="方正小标宋简体" w:hAnsi="方正小标宋简体" w:eastAsia="方正小标宋简体" w:cs="方正小标宋简体"/>
          <w:sz w:val="72"/>
          <w:szCs w:val="72"/>
        </w:rPr>
        <w:t>单位决算</w:t>
      </w:r>
      <w:bookmarkEnd w:id="10"/>
      <w:bookmarkEnd w:id="11"/>
      <w:bookmarkEnd w:id="12"/>
      <w:bookmarkEnd w:id="13"/>
      <w:bookmarkEnd w:id="14"/>
      <w:bookmarkEnd w:id="15"/>
      <w:bookmarkEnd w:id="16"/>
      <w:bookmarkEnd w:id="17"/>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月</w:t>
      </w:r>
      <w:r>
        <w:rPr>
          <w:rFonts w:hint="eastAsia"/>
          <w:lang w:val="en-US" w:eastAsia="zh-CN"/>
        </w:rPr>
        <w:t>29</w:t>
      </w:r>
      <w:r>
        <w:rPr>
          <w:rFonts w:hint="eastAsia"/>
        </w:rPr>
        <w:t>日</w:t>
      </w:r>
    </w:p>
    <w:p/>
    <w:sdt>
      <w:sdtPr>
        <w:rPr>
          <w:rFonts w:ascii="宋体" w:hAnsi="宋体"/>
        </w:rPr>
        <w:id w:val="147470877"/>
        <w:docPartObj>
          <w:docPartGallery w:val="Table of Contents"/>
          <w:docPartUnique/>
        </w:docPartObj>
      </w:sdtPr>
      <w:sdtEndPr>
        <w:rPr>
          <w:rFonts w:ascii="宋体" w:hAnsi="宋体"/>
        </w:rPr>
      </w:sdtEndPr>
      <w:sdtContent>
        <w:p>
          <w:pPr>
            <w:jc w:val="center"/>
          </w:pPr>
        </w:p>
        <w:p>
          <w:pPr>
            <w:pStyle w:val="33"/>
            <w:tabs>
              <w:tab w:val="right" w:leader="dot" w:pos="8306"/>
            </w:tabs>
          </w:pPr>
          <w:r>
            <w:fldChar w:fldCharType="begin"/>
          </w:r>
          <w:r>
            <w:instrText xml:space="preserve">TOC \o "1-3" \h \u </w:instrText>
          </w:r>
          <w:r>
            <w:fldChar w:fldCharType="separate"/>
          </w:r>
        </w:p>
        <w:p>
          <w:pPr>
            <w:pStyle w:val="33"/>
            <w:tabs>
              <w:tab w:val="right" w:leader="dot" w:pos="8306"/>
            </w:tabs>
          </w:pPr>
          <w:r>
            <w:fldChar w:fldCharType="begin"/>
          </w:r>
          <w:r>
            <w:instrText xml:space="preserve"> HYPERLINK \l "_Toc31983" </w:instrText>
          </w:r>
          <w:r>
            <w:fldChar w:fldCharType="separate"/>
          </w:r>
          <w:r>
            <w:rPr>
              <w:rFonts w:hint="eastAsia" w:ascii="黑体" w:hAnsi="黑体" w:eastAsia="黑体"/>
            </w:rPr>
            <w:t>第一部分 单位概况</w:t>
          </w:r>
          <w:r>
            <w:tab/>
          </w:r>
          <w:r>
            <w:fldChar w:fldCharType="begin"/>
          </w:r>
          <w:r>
            <w:instrText xml:space="preserve"> PAGEREF _Toc31983 \h </w:instrText>
          </w:r>
          <w:r>
            <w:fldChar w:fldCharType="separate"/>
          </w:r>
          <w:r>
            <w:t>4</w:t>
          </w:r>
          <w:r>
            <w:fldChar w:fldCharType="end"/>
          </w:r>
          <w:r>
            <w:fldChar w:fldCharType="end"/>
          </w:r>
        </w:p>
        <w:p>
          <w:pPr>
            <w:pStyle w:val="34"/>
            <w:tabs>
              <w:tab w:val="right" w:leader="dot" w:pos="8306"/>
            </w:tabs>
            <w:ind w:left="420"/>
          </w:pPr>
          <w:r>
            <w:fldChar w:fldCharType="begin"/>
          </w:r>
          <w:r>
            <w:instrText xml:space="preserve"> HYPERLINK \l "_Toc14640" </w:instrText>
          </w:r>
          <w:r>
            <w:fldChar w:fldCharType="separate"/>
          </w:r>
          <w:r>
            <w:rPr>
              <w:rFonts w:hint="eastAsia" w:ascii="仿宋_GB2312" w:hAnsi="仿宋" w:eastAsia="仿宋_GB2312" w:cs="Times New Roman"/>
              <w:kern w:val="2"/>
              <w:szCs w:val="32"/>
            </w:rPr>
            <w:t xml:space="preserve">一、 </w:t>
          </w:r>
          <w:r>
            <w:rPr>
              <w:rFonts w:hint="eastAsia" w:ascii="黑体" w:hAnsi="黑体" w:eastAsia="黑体"/>
            </w:rPr>
            <w:t>主要职责</w:t>
          </w:r>
          <w:r>
            <w:tab/>
          </w:r>
          <w:r>
            <w:fldChar w:fldCharType="begin"/>
          </w:r>
          <w:r>
            <w:instrText xml:space="preserve"> PAGEREF _Toc14640 \h </w:instrText>
          </w:r>
          <w:r>
            <w:fldChar w:fldCharType="separate"/>
          </w:r>
          <w:r>
            <w:t>4</w:t>
          </w:r>
          <w:r>
            <w:fldChar w:fldCharType="end"/>
          </w:r>
          <w:r>
            <w:fldChar w:fldCharType="end"/>
          </w:r>
        </w:p>
        <w:p>
          <w:pPr>
            <w:pStyle w:val="34"/>
            <w:tabs>
              <w:tab w:val="right" w:leader="dot" w:pos="8306"/>
            </w:tabs>
            <w:ind w:left="420"/>
          </w:pPr>
          <w:r>
            <w:fldChar w:fldCharType="begin"/>
          </w:r>
          <w:r>
            <w:instrText xml:space="preserve"> HYPERLINK \l "_Toc19901" </w:instrText>
          </w:r>
          <w:r>
            <w:fldChar w:fldCharType="separate"/>
          </w:r>
          <w:r>
            <w:rPr>
              <w:rFonts w:hint="eastAsia" w:ascii="黑体" w:hAnsi="黑体" w:eastAsia="黑体"/>
            </w:rPr>
            <w:t>二、 机构设置</w:t>
          </w:r>
          <w:r>
            <w:tab/>
          </w:r>
          <w:r>
            <w:fldChar w:fldCharType="begin"/>
          </w:r>
          <w:r>
            <w:instrText xml:space="preserve"> PAGEREF _Toc19901 \h </w:instrText>
          </w:r>
          <w:r>
            <w:fldChar w:fldCharType="separate"/>
          </w:r>
          <w:r>
            <w:t>5</w:t>
          </w:r>
          <w:r>
            <w:fldChar w:fldCharType="end"/>
          </w:r>
          <w:r>
            <w:fldChar w:fldCharType="end"/>
          </w:r>
        </w:p>
        <w:p>
          <w:pPr>
            <w:pStyle w:val="33"/>
            <w:tabs>
              <w:tab w:val="right" w:leader="dot" w:pos="8306"/>
            </w:tabs>
          </w:pPr>
          <w:r>
            <w:fldChar w:fldCharType="begin"/>
          </w:r>
          <w:r>
            <w:instrText xml:space="preserve"> HYPERLINK \l "_Toc2556"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_Toc2556 \h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"_Toc6813"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_Toc6813 \h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"_Toc27218"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_Toc27218 \h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"_Toc22050"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_Toc22050 \h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"_Toc20222"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_Toc20222 \h </w:instrText>
          </w:r>
          <w:r>
            <w:fldChar w:fldCharType="separate"/>
          </w:r>
          <w:r>
            <w:t>7</w:t>
          </w:r>
          <w:r>
            <w:fldChar w:fldCharType="end"/>
          </w:r>
          <w:r>
            <w:fldChar w:fldCharType="end"/>
          </w:r>
        </w:p>
        <w:p>
          <w:pPr>
            <w:pStyle w:val="34"/>
            <w:tabs>
              <w:tab w:val="right" w:leader="dot" w:pos="8306"/>
            </w:tabs>
            <w:ind w:left="420"/>
          </w:pPr>
          <w:r>
            <w:fldChar w:fldCharType="begin"/>
          </w:r>
          <w:r>
            <w:instrText xml:space="preserve"> HYPERLINK \l "_Toc15304"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_Toc15304 \h </w:instrText>
          </w:r>
          <w:r>
            <w:fldChar w:fldCharType="separate"/>
          </w:r>
          <w:r>
            <w:t>7</w:t>
          </w:r>
          <w:r>
            <w:fldChar w:fldCharType="end"/>
          </w:r>
          <w:r>
            <w:fldChar w:fldCharType="end"/>
          </w:r>
        </w:p>
        <w:p>
          <w:pPr>
            <w:pStyle w:val="35"/>
            <w:tabs>
              <w:tab w:val="right" w:leader="dot" w:pos="8306"/>
            </w:tabs>
            <w:ind w:left="840"/>
          </w:pPr>
          <w:r>
            <w:fldChar w:fldCharType="begin"/>
          </w:r>
          <w:r>
            <w:instrText xml:space="preserve"> HYPERLINK \l "_Toc17595"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_Toc17595 \h </w:instrText>
          </w:r>
          <w:r>
            <w:fldChar w:fldCharType="separate"/>
          </w:r>
          <w:r>
            <w:t>7</w:t>
          </w:r>
          <w:r>
            <w:fldChar w:fldCharType="end"/>
          </w:r>
          <w:r>
            <w:fldChar w:fldCharType="end"/>
          </w:r>
        </w:p>
        <w:p>
          <w:pPr>
            <w:pStyle w:val="35"/>
            <w:tabs>
              <w:tab w:val="right" w:leader="dot" w:pos="8306"/>
            </w:tabs>
            <w:ind w:left="840"/>
          </w:pPr>
          <w:r>
            <w:fldChar w:fldCharType="begin"/>
          </w:r>
          <w:r>
            <w:instrText xml:space="preserve"> HYPERLINK \l "_Toc6362"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_Toc6362 \h </w:instrText>
          </w:r>
          <w:r>
            <w:fldChar w:fldCharType="separate"/>
          </w:r>
          <w:r>
            <w:t>7</w:t>
          </w:r>
          <w:r>
            <w:fldChar w:fldCharType="end"/>
          </w:r>
          <w:r>
            <w:fldChar w:fldCharType="end"/>
          </w:r>
        </w:p>
        <w:p>
          <w:pPr>
            <w:pStyle w:val="35"/>
            <w:tabs>
              <w:tab w:val="right" w:leader="dot" w:pos="8306"/>
            </w:tabs>
            <w:ind w:left="840"/>
          </w:pPr>
          <w:r>
            <w:fldChar w:fldCharType="begin"/>
          </w:r>
          <w:r>
            <w:instrText xml:space="preserve"> HYPERLINK \l "_Toc30917"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_Toc30917 \h </w:instrText>
          </w:r>
          <w:r>
            <w:fldChar w:fldCharType="separate"/>
          </w:r>
          <w:r>
            <w:t>8</w:t>
          </w:r>
          <w:r>
            <w:fldChar w:fldCharType="end"/>
          </w:r>
          <w:r>
            <w:fldChar w:fldCharType="end"/>
          </w:r>
        </w:p>
        <w:p>
          <w:pPr>
            <w:pStyle w:val="34"/>
            <w:tabs>
              <w:tab w:val="right" w:leader="dot" w:pos="8306"/>
            </w:tabs>
            <w:ind w:left="420"/>
          </w:pPr>
          <w:r>
            <w:fldChar w:fldCharType="begin"/>
          </w:r>
          <w:r>
            <w:instrText xml:space="preserve"> HYPERLINK \l "_Toc15594"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_Toc15594 \h </w:instrText>
          </w:r>
          <w:r>
            <w:fldChar w:fldCharType="separate"/>
          </w:r>
          <w:r>
            <w:t>9</w:t>
          </w:r>
          <w:r>
            <w:fldChar w:fldCharType="end"/>
          </w:r>
          <w:r>
            <w:fldChar w:fldCharType="end"/>
          </w:r>
        </w:p>
        <w:p>
          <w:pPr>
            <w:pStyle w:val="34"/>
            <w:tabs>
              <w:tab w:val="right" w:leader="dot" w:pos="8306"/>
            </w:tabs>
            <w:ind w:left="420"/>
          </w:pPr>
          <w:r>
            <w:fldChar w:fldCharType="begin"/>
          </w:r>
          <w:r>
            <w:instrText xml:space="preserve"> HYPERLINK \l "_Toc23663"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_Toc23663 \h </w:instrText>
          </w:r>
          <w:r>
            <w:fldChar w:fldCharType="separate"/>
          </w:r>
          <w:r>
            <w:t>9</w:t>
          </w:r>
          <w:r>
            <w:fldChar w:fldCharType="end"/>
          </w:r>
          <w:r>
            <w:fldChar w:fldCharType="end"/>
          </w:r>
        </w:p>
        <w:p>
          <w:pPr>
            <w:pStyle w:val="35"/>
            <w:tabs>
              <w:tab w:val="right" w:leader="dot" w:pos="8306"/>
            </w:tabs>
            <w:ind w:left="840"/>
          </w:pPr>
          <w:r>
            <w:fldChar w:fldCharType="begin"/>
          </w:r>
          <w:r>
            <w:instrText xml:space="preserve"> HYPERLINK \l "_Toc20706"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_Toc20706 \h </w:instrText>
          </w:r>
          <w:r>
            <w:fldChar w:fldCharType="separate"/>
          </w:r>
          <w:r>
            <w:t>9</w:t>
          </w:r>
          <w:r>
            <w:fldChar w:fldCharType="end"/>
          </w:r>
          <w:r>
            <w:fldChar w:fldCharType="end"/>
          </w:r>
        </w:p>
        <w:p>
          <w:pPr>
            <w:pStyle w:val="35"/>
            <w:tabs>
              <w:tab w:val="right" w:leader="dot" w:pos="8306"/>
            </w:tabs>
            <w:ind w:left="840"/>
          </w:pPr>
          <w:r>
            <w:fldChar w:fldCharType="begin"/>
          </w:r>
          <w:r>
            <w:instrText xml:space="preserve"> HYPERLINK \l "_Toc8688"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_Toc8688 \h </w:instrText>
          </w:r>
          <w:r>
            <w:fldChar w:fldCharType="separate"/>
          </w:r>
          <w:r>
            <w:t>9</w:t>
          </w:r>
          <w:r>
            <w:fldChar w:fldCharType="end"/>
          </w:r>
          <w:r>
            <w:fldChar w:fldCharType="end"/>
          </w:r>
        </w:p>
        <w:p>
          <w:pPr>
            <w:pStyle w:val="34"/>
            <w:tabs>
              <w:tab w:val="right" w:leader="dot" w:pos="8306"/>
            </w:tabs>
            <w:ind w:left="420"/>
          </w:pPr>
          <w:r>
            <w:fldChar w:fldCharType="begin"/>
          </w:r>
          <w:r>
            <w:instrText xml:space="preserve"> HYPERLINK \l "_Toc27972"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_Toc27972 \h </w:instrText>
          </w:r>
          <w:r>
            <w:fldChar w:fldCharType="separate"/>
          </w:r>
          <w:r>
            <w:t>11</w:t>
          </w:r>
          <w:r>
            <w:fldChar w:fldCharType="end"/>
          </w:r>
          <w:r>
            <w:fldChar w:fldCharType="end"/>
          </w:r>
        </w:p>
        <w:p>
          <w:pPr>
            <w:pStyle w:val="34"/>
            <w:tabs>
              <w:tab w:val="right" w:leader="dot" w:pos="8306"/>
            </w:tabs>
            <w:ind w:left="420"/>
          </w:pPr>
          <w:r>
            <w:fldChar w:fldCharType="begin"/>
          </w:r>
          <w:r>
            <w:instrText xml:space="preserve"> HYPERLINK \l "_Toc12994" </w:instrText>
          </w:r>
          <w:r>
            <w:fldChar w:fldCharType="separate"/>
          </w:r>
          <w:r>
            <w:rPr>
              <w:rFonts w:hint="eastAsia" w:ascii="黑体" w:hAnsi="黑体" w:eastAsia="黑体"/>
            </w:rPr>
            <w:t>九、 国有资本经营预算支出决算情况说明</w:t>
          </w:r>
          <w:r>
            <w:tab/>
          </w:r>
          <w:r>
            <w:fldChar w:fldCharType="begin"/>
          </w:r>
          <w:r>
            <w:instrText xml:space="preserve"> PAGEREF _Toc12994 \h </w:instrText>
          </w:r>
          <w:r>
            <w:fldChar w:fldCharType="separate"/>
          </w:r>
          <w:r>
            <w:t>11</w:t>
          </w:r>
          <w:r>
            <w:fldChar w:fldCharType="end"/>
          </w:r>
          <w:r>
            <w:fldChar w:fldCharType="end"/>
          </w:r>
        </w:p>
        <w:p>
          <w:pPr>
            <w:pStyle w:val="34"/>
            <w:tabs>
              <w:tab w:val="right" w:leader="dot" w:pos="8306"/>
            </w:tabs>
            <w:ind w:left="420"/>
          </w:pPr>
          <w:r>
            <w:fldChar w:fldCharType="begin"/>
          </w:r>
          <w:r>
            <w:instrText xml:space="preserve"> HYPERLINK \l "_Toc772" </w:instrText>
          </w:r>
          <w:r>
            <w:fldChar w:fldCharType="separate"/>
          </w:r>
          <w:r>
            <w:rPr>
              <w:rFonts w:hint="eastAsia" w:ascii="黑体" w:hAnsi="黑体" w:eastAsia="黑体"/>
            </w:rPr>
            <w:t>十、 其他重要事项的情况说明</w:t>
          </w:r>
          <w:r>
            <w:tab/>
          </w:r>
          <w:r>
            <w:fldChar w:fldCharType="begin"/>
          </w:r>
          <w:r>
            <w:instrText xml:space="preserve"> PAGEREF _Toc772 \h </w:instrText>
          </w:r>
          <w:r>
            <w:fldChar w:fldCharType="separate"/>
          </w:r>
          <w:r>
            <w:t>11</w:t>
          </w:r>
          <w:r>
            <w:fldChar w:fldCharType="end"/>
          </w:r>
          <w:r>
            <w:fldChar w:fldCharType="end"/>
          </w:r>
        </w:p>
        <w:p>
          <w:pPr>
            <w:pStyle w:val="35"/>
            <w:tabs>
              <w:tab w:val="right" w:leader="dot" w:pos="8306"/>
            </w:tabs>
            <w:ind w:left="840"/>
          </w:pPr>
          <w:r>
            <w:fldChar w:fldCharType="begin"/>
          </w:r>
          <w:r>
            <w:instrText xml:space="preserve"> HYPERLINK \l "_Toc10874" </w:instrText>
          </w:r>
          <w:r>
            <w:fldChar w:fldCharType="separate"/>
          </w:r>
          <w:r>
            <w:rPr>
              <w:rFonts w:hint="eastAsia" w:ascii="仿宋" w:hAnsi="仿宋" w:eastAsia="仿宋"/>
              <w:szCs w:val="32"/>
            </w:rPr>
            <w:t>（一）机关运行经费支出情况</w:t>
          </w:r>
          <w:r>
            <w:tab/>
          </w:r>
          <w:r>
            <w:fldChar w:fldCharType="begin"/>
          </w:r>
          <w:r>
            <w:instrText xml:space="preserve"> PAGEREF _Toc10874 \h </w:instrText>
          </w:r>
          <w:r>
            <w:fldChar w:fldCharType="separate"/>
          </w:r>
          <w:r>
            <w:t>11</w:t>
          </w:r>
          <w:r>
            <w:fldChar w:fldCharType="end"/>
          </w:r>
          <w:r>
            <w:fldChar w:fldCharType="end"/>
          </w:r>
        </w:p>
        <w:p>
          <w:pPr>
            <w:pStyle w:val="35"/>
            <w:tabs>
              <w:tab w:val="right" w:leader="dot" w:pos="8306"/>
            </w:tabs>
            <w:ind w:left="840"/>
          </w:pPr>
          <w:r>
            <w:fldChar w:fldCharType="begin"/>
          </w:r>
          <w:r>
            <w:instrText xml:space="preserve"> HYPERLINK \l "_Toc15379" </w:instrText>
          </w:r>
          <w:r>
            <w:fldChar w:fldCharType="separate"/>
          </w:r>
          <w:r>
            <w:rPr>
              <w:rFonts w:hint="eastAsia" w:ascii="仿宋" w:hAnsi="仿宋" w:eastAsia="仿宋"/>
              <w:szCs w:val="32"/>
            </w:rPr>
            <w:t>（二）政府采购支出情况</w:t>
          </w:r>
          <w:r>
            <w:tab/>
          </w:r>
          <w:r>
            <w:fldChar w:fldCharType="begin"/>
          </w:r>
          <w:r>
            <w:instrText xml:space="preserve"> PAGEREF _Toc15379 \h </w:instrText>
          </w:r>
          <w:r>
            <w:fldChar w:fldCharType="separate"/>
          </w:r>
          <w:r>
            <w:t>11</w:t>
          </w:r>
          <w:r>
            <w:fldChar w:fldCharType="end"/>
          </w:r>
          <w:r>
            <w:fldChar w:fldCharType="end"/>
          </w:r>
        </w:p>
        <w:p>
          <w:pPr>
            <w:pStyle w:val="35"/>
            <w:tabs>
              <w:tab w:val="right" w:leader="dot" w:pos="8306"/>
            </w:tabs>
            <w:ind w:left="840"/>
          </w:pPr>
          <w:r>
            <w:fldChar w:fldCharType="begin"/>
          </w:r>
          <w:r>
            <w:instrText xml:space="preserve"> HYPERLINK \l "_Toc15688" </w:instrText>
          </w:r>
          <w:r>
            <w:fldChar w:fldCharType="separate"/>
          </w:r>
          <w:r>
            <w:rPr>
              <w:rFonts w:hint="eastAsia" w:ascii="仿宋" w:hAnsi="仿宋" w:eastAsia="仿宋"/>
              <w:szCs w:val="32"/>
            </w:rPr>
            <w:t>（三）国有资产占有使用情况</w:t>
          </w:r>
          <w:r>
            <w:tab/>
          </w:r>
          <w:r>
            <w:fldChar w:fldCharType="begin"/>
          </w:r>
          <w:r>
            <w:instrText xml:space="preserve"> PAGEREF _Toc15688 \h </w:instrText>
          </w:r>
          <w:r>
            <w:fldChar w:fldCharType="separate"/>
          </w:r>
          <w:r>
            <w:t>12</w:t>
          </w:r>
          <w:r>
            <w:fldChar w:fldCharType="end"/>
          </w:r>
          <w:r>
            <w:fldChar w:fldCharType="end"/>
          </w:r>
        </w:p>
        <w:p>
          <w:pPr>
            <w:pStyle w:val="33"/>
            <w:tabs>
              <w:tab w:val="right" w:leader="dot" w:pos="8306"/>
            </w:tabs>
          </w:pPr>
          <w:r>
            <w:fldChar w:fldCharType="begin"/>
          </w:r>
          <w:r>
            <w:instrText xml:space="preserve"> HYPERLINK \l "_Toc32001"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_Toc32001 \h </w:instrText>
          </w:r>
          <w:r>
            <w:fldChar w:fldCharType="separate"/>
          </w:r>
          <w:r>
            <w:t>12</w:t>
          </w:r>
          <w:r>
            <w:fldChar w:fldCharType="end"/>
          </w:r>
          <w:r>
            <w:fldChar w:fldCharType="end"/>
          </w:r>
          <w:bookmarkStart w:id="122" w:name="_GoBack"/>
          <w:bookmarkEnd w:id="122"/>
        </w:p>
        <w:p>
          <w:pPr>
            <w:pStyle w:val="33"/>
            <w:tabs>
              <w:tab w:val="right" w:leader="dot" w:pos="8306"/>
            </w:tabs>
          </w:pPr>
          <w:r>
            <w:fldChar w:fldCharType="begin"/>
          </w:r>
          <w:r>
            <w:instrText xml:space="preserve"> HYPERLINK \l "_Toc12298" </w:instrText>
          </w:r>
          <w:r>
            <w:fldChar w:fldCharType="separate"/>
          </w:r>
          <w:r>
            <w:rPr>
              <w:rFonts w:hint="eastAsia" w:ascii="黑体" w:hAnsi="黑体" w:eastAsia="黑体"/>
              <w:szCs w:val="44"/>
            </w:rPr>
            <w:t>第</w:t>
          </w:r>
          <w:r>
            <w:rPr>
              <w:rFonts w:hint="eastAsia" w:ascii="黑体" w:hAnsi="黑体" w:eastAsia="黑体"/>
              <w:lang w:eastAsia="zh-CN"/>
            </w:rPr>
            <w:t>四</w:t>
          </w:r>
          <w:r>
            <w:rPr>
              <w:rFonts w:hint="eastAsia" w:ascii="黑体" w:hAnsi="黑体" w:eastAsia="黑体"/>
            </w:rPr>
            <w:t>部分 附表</w:t>
          </w:r>
          <w:r>
            <w:tab/>
          </w:r>
          <w:r>
            <w:fldChar w:fldCharType="begin"/>
          </w:r>
          <w:r>
            <w:instrText xml:space="preserve"> PAGEREF _Toc12298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"_Toc19442" </w:instrText>
          </w:r>
          <w:r>
            <w:fldChar w:fldCharType="separate"/>
          </w:r>
          <w:r>
            <w:rPr>
              <w:rFonts w:hint="eastAsia" w:ascii="仿宋" w:hAnsi="仿宋" w:eastAsia="仿宋"/>
            </w:rPr>
            <w:t>一、收入支出决算总表</w:t>
          </w:r>
          <w:r>
            <w:tab/>
          </w:r>
          <w:r>
            <w:fldChar w:fldCharType="begin"/>
          </w:r>
          <w:r>
            <w:instrText xml:space="preserve"> PAGEREF _Toc19442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"_Toc2181" </w:instrText>
          </w:r>
          <w:r>
            <w:fldChar w:fldCharType="separate"/>
          </w:r>
          <w:r>
            <w:rPr>
              <w:rFonts w:hint="eastAsia" w:ascii="仿宋" w:hAnsi="仿宋" w:eastAsia="仿宋"/>
            </w:rPr>
            <w:t>二、收入决算表</w:t>
          </w:r>
          <w:r>
            <w:tab/>
          </w:r>
          <w:r>
            <w:fldChar w:fldCharType="begin"/>
          </w:r>
          <w:r>
            <w:instrText xml:space="preserve"> PAGEREF _Toc2181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"_Toc1562" </w:instrText>
          </w:r>
          <w:r>
            <w:fldChar w:fldCharType="separate"/>
          </w:r>
          <w:r>
            <w:rPr>
              <w:rFonts w:hint="eastAsia" w:ascii="仿宋" w:hAnsi="仿宋" w:eastAsia="仿宋"/>
            </w:rPr>
            <w:t>三、支出决算表</w:t>
          </w:r>
          <w:r>
            <w:tab/>
          </w:r>
          <w:r>
            <w:fldChar w:fldCharType="begin"/>
          </w:r>
          <w:r>
            <w:instrText xml:space="preserve"> PAGEREF _Toc1562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"_Toc1760" </w:instrText>
          </w:r>
          <w:r>
            <w:fldChar w:fldCharType="separate"/>
          </w:r>
          <w:r>
            <w:rPr>
              <w:rFonts w:hint="eastAsia" w:ascii="仿宋" w:hAnsi="仿宋" w:eastAsia="仿宋"/>
            </w:rPr>
            <w:t>四、财政拨款收入支出决算总表</w:t>
          </w:r>
          <w:r>
            <w:tab/>
          </w:r>
          <w:r>
            <w:fldChar w:fldCharType="begin"/>
          </w:r>
          <w:r>
            <w:instrText xml:space="preserve"> PAGEREF _Toc1760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"_Toc7598" </w:instrText>
          </w:r>
          <w:r>
            <w:fldChar w:fldCharType="separate"/>
          </w:r>
          <w:r>
            <w:rPr>
              <w:rFonts w:hint="eastAsia" w:ascii="仿宋" w:hAnsi="仿宋" w:eastAsia="仿宋"/>
            </w:rPr>
            <w:t>五、财政拨款支出决算明细表</w:t>
          </w:r>
          <w:r>
            <w:tab/>
          </w:r>
          <w:r>
            <w:fldChar w:fldCharType="begin"/>
          </w:r>
          <w:r>
            <w:instrText xml:space="preserve"> PAGEREF _Toc7598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"_Toc15573" </w:instrText>
          </w:r>
          <w:r>
            <w:fldChar w:fldCharType="separate"/>
          </w:r>
          <w:r>
            <w:rPr>
              <w:rFonts w:hint="eastAsia" w:ascii="仿宋" w:hAnsi="仿宋" w:eastAsia="仿宋"/>
            </w:rPr>
            <w:t>六、一般公共预算财政拨款支出决算表</w:t>
          </w:r>
          <w:r>
            <w:tab/>
          </w:r>
          <w:r>
            <w:fldChar w:fldCharType="begin"/>
          </w:r>
          <w:r>
            <w:instrText xml:space="preserve"> PAGEREF _Toc15573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"_Toc26584" </w:instrText>
          </w:r>
          <w:r>
            <w:fldChar w:fldCharType="separate"/>
          </w:r>
          <w:r>
            <w:rPr>
              <w:rFonts w:hint="eastAsia" w:ascii="仿宋" w:hAnsi="仿宋" w:eastAsia="仿宋"/>
            </w:rPr>
            <w:t>七、一般公共预算财政拨款支出决算明细表</w:t>
          </w:r>
          <w:r>
            <w:tab/>
          </w:r>
          <w:r>
            <w:fldChar w:fldCharType="begin"/>
          </w:r>
          <w:r>
            <w:instrText xml:space="preserve"> PAGEREF _Toc26584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"_Toc29658" </w:instrText>
          </w:r>
          <w:r>
            <w:fldChar w:fldCharType="separate"/>
          </w:r>
          <w:r>
            <w:rPr>
              <w:rFonts w:hint="eastAsia" w:ascii="仿宋" w:hAnsi="仿宋" w:eastAsia="仿宋"/>
            </w:rPr>
            <w:t>八、一般公共预算财政拨款基本支出决算表</w:t>
          </w:r>
          <w:r>
            <w:tab/>
          </w:r>
          <w:r>
            <w:fldChar w:fldCharType="begin"/>
          </w:r>
          <w:r>
            <w:instrText xml:space="preserve"> PAGEREF _Toc29658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"_Toc30049" </w:instrText>
          </w:r>
          <w:r>
            <w:fldChar w:fldCharType="separate"/>
          </w:r>
          <w:r>
            <w:rPr>
              <w:rFonts w:hint="eastAsia" w:ascii="仿宋" w:hAnsi="仿宋" w:eastAsia="仿宋"/>
            </w:rPr>
            <w:t>九、一般公共预算财政拨款项目支出决算表</w:t>
          </w:r>
          <w:r>
            <w:tab/>
          </w:r>
          <w:r>
            <w:fldChar w:fldCharType="begin"/>
          </w:r>
          <w:r>
            <w:instrText xml:space="preserve"> PAGEREF _Toc30049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"_Toc23059" </w:instrText>
          </w:r>
          <w:r>
            <w:fldChar w:fldCharType="separate"/>
          </w:r>
          <w:r>
            <w:rPr>
              <w:rFonts w:hint="eastAsia" w:ascii="仿宋" w:hAnsi="仿宋" w:eastAsia="仿宋"/>
            </w:rPr>
            <w:t>十、政府性基金预算财政拨款收入支出决算表</w:t>
          </w:r>
          <w:r>
            <w:tab/>
          </w:r>
          <w:r>
            <w:fldChar w:fldCharType="begin"/>
          </w:r>
          <w:r>
            <w:instrText xml:space="preserve"> PAGEREF _Toc23059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"_Toc8794" </w:instrText>
          </w:r>
          <w:r>
            <w:fldChar w:fldCharType="separate"/>
          </w:r>
          <w:r>
            <w:rPr>
              <w:rFonts w:hint="eastAsia" w:ascii="仿宋" w:hAnsi="仿宋" w:eastAsia="仿宋"/>
            </w:rPr>
            <w:t>十一、国有资本经营预算财政拨款收入支出决算表</w:t>
          </w:r>
          <w:r>
            <w:tab/>
          </w:r>
          <w:r>
            <w:fldChar w:fldCharType="begin"/>
          </w:r>
          <w:r>
            <w:instrText xml:space="preserve"> PAGEREF _Toc8794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"_Toc4064" </w:instrText>
          </w:r>
          <w:r>
            <w:fldChar w:fldCharType="separate"/>
          </w:r>
          <w:r>
            <w:rPr>
              <w:rFonts w:hint="eastAsia" w:ascii="仿宋" w:hAnsi="仿宋" w:eastAsia="仿宋"/>
            </w:rPr>
            <w:t>十二、国有资本经营预算财政拨款支出决算表</w:t>
          </w:r>
          <w:r>
            <w:tab/>
          </w:r>
          <w:r>
            <w:fldChar w:fldCharType="begin"/>
          </w:r>
          <w:r>
            <w:instrText xml:space="preserve"> PAGEREF _Toc4064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"_Toc14311" </w:instrText>
          </w:r>
          <w:r>
            <w:fldChar w:fldCharType="separate"/>
          </w:r>
          <w:r>
            <w:rPr>
              <w:rFonts w:hint="eastAsia" w:ascii="仿宋" w:hAnsi="仿宋" w:eastAsia="仿宋"/>
            </w:rPr>
            <w:t>十三、财政拨款“三公”经费支出决算表</w:t>
          </w:r>
          <w:r>
            <w:tab/>
          </w:r>
          <w:r>
            <w:fldChar w:fldCharType="begin"/>
          </w:r>
          <w:r>
            <w:instrText xml:space="preserve"> PAGEREF _Toc14311 \h </w:instrText>
          </w:r>
          <w:r>
            <w:fldChar w:fldCharType="separate"/>
          </w:r>
          <w:r>
            <w:t>14</w:t>
          </w:r>
          <w:r>
            <w:fldChar w:fldCharType="end"/>
          </w:r>
          <w:r>
            <w:fldChar w:fldCharType="end"/>
          </w:r>
        </w:p>
        <w:p>
          <w:r>
            <w:fldChar w:fldCharType="end"/>
          </w:r>
        </w:p>
      </w:sdtContent>
    </w:sdt>
    <w:p>
      <w:pPr>
        <w:widowControl/>
        <w:spacing w:line="440" w:lineRule="exact"/>
        <w:jc w:val="left"/>
        <w:rPr>
          <w:rFonts w:ascii="仿宋" w:hAnsi="仿宋" w:eastAsia="仿宋"/>
          <w:bCs/>
          <w:kern w:val="44"/>
          <w:sz w:val="24"/>
        </w:rPr>
      </w:pPr>
      <w:bookmarkStart w:id="18" w:name="_Toc15377196"/>
      <w:bookmarkStart w:id="19" w:name="_Toc15396599"/>
      <w:r>
        <w:rPr>
          <w:rFonts w:ascii="仿宋" w:hAnsi="仿宋" w:eastAsia="仿宋"/>
          <w:b/>
          <w:sz w:val="24"/>
        </w:rPr>
        <w:br w:type="page"/>
      </w:r>
    </w:p>
    <w:p>
      <w:pPr>
        <w:pStyle w:val="3"/>
        <w:jc w:val="center"/>
        <w:rPr>
          <w:rStyle w:val="27"/>
          <w:rFonts w:ascii="黑体" w:hAnsi="黑体" w:eastAsia="黑体"/>
          <w:b/>
          <w:bCs w:val="0"/>
        </w:rPr>
      </w:pPr>
      <w:bookmarkStart w:id="20" w:name="_Toc31983"/>
      <w:r>
        <w:rPr>
          <w:rFonts w:hint="eastAsia" w:ascii="黑体" w:hAnsi="黑体" w:eastAsia="黑体"/>
          <w:b w:val="0"/>
        </w:rPr>
        <w:t>第一部分 单位</w:t>
      </w:r>
      <w:r>
        <w:rPr>
          <w:rStyle w:val="27"/>
          <w:rFonts w:hint="eastAsia" w:ascii="黑体" w:hAnsi="黑体" w:eastAsia="黑体"/>
          <w:b w:val="0"/>
          <w:bCs w:val="0"/>
        </w:rPr>
        <w:t>概况</w:t>
      </w:r>
      <w:bookmarkEnd w:id="18"/>
      <w:bookmarkEnd w:id="19"/>
      <w:bookmarkEnd w:id="20"/>
    </w:p>
    <w:p>
      <w:pPr>
        <w:widowControl/>
        <w:jc w:val="left"/>
        <w:rPr>
          <w:rFonts w:ascii="黑体" w:eastAsia="黑体"/>
          <w:sz w:val="32"/>
          <w:szCs w:val="32"/>
        </w:rPr>
      </w:pPr>
    </w:p>
    <w:p>
      <w:pPr>
        <w:pStyle w:val="4"/>
        <w:numPr>
          <w:ilvl w:val="0"/>
          <w:numId w:val="1"/>
        </w:numPr>
        <w:rPr>
          <w:rFonts w:ascii="仿宋_GB2312" w:hAnsi="仿宋" w:eastAsia="仿宋_GB2312" w:cs="Times New Roman"/>
          <w:b w:val="0"/>
          <w:bCs w:val="0"/>
        </w:rPr>
      </w:pPr>
      <w:bookmarkStart w:id="21" w:name="_Toc14640"/>
      <w:bookmarkStart w:id="22" w:name="_Toc15377197"/>
      <w:bookmarkStart w:id="23" w:name="_Toc15396600"/>
      <w:r>
        <w:rPr>
          <w:rStyle w:val="28"/>
          <w:rFonts w:hint="eastAsia" w:ascii="黑体" w:hAnsi="黑体" w:eastAsia="黑体"/>
          <w:b w:val="0"/>
          <w:bCs w:val="0"/>
        </w:rPr>
        <w:t>主要职责</w:t>
      </w:r>
      <w:bookmarkEnd w:id="21"/>
    </w:p>
    <w:p>
      <w:pPr>
        <w:pStyle w:val="4"/>
        <w:ind w:firstLine="640" w:firstLineChars="200"/>
        <w:rPr>
          <w:rFonts w:ascii="仿宋_GB2312" w:hAnsi="仿宋" w:eastAsia="仿宋_GB2312" w:cs="Times New Roman"/>
          <w:b w:val="0"/>
          <w:bCs w:val="0"/>
        </w:rPr>
      </w:pPr>
      <w:bookmarkStart w:id="24" w:name="_Toc24669"/>
      <w:bookmarkStart w:id="25" w:name="_Toc23996"/>
      <w:r>
        <w:rPr>
          <w:rFonts w:hint="eastAsia" w:ascii="仿宋_GB2312" w:hAnsi="仿宋" w:eastAsia="仿宋_GB2312" w:cs="Times New Roman"/>
          <w:b w:val="0"/>
          <w:bCs w:val="0"/>
        </w:rPr>
        <w:t>剑阁县羊岭镇卫生院位于剑阁、</w:t>
      </w:r>
      <w:r>
        <w:rPr>
          <w:rFonts w:hint="eastAsia" w:ascii="仿宋_GB2312" w:hAnsi="仿宋_GB2312" w:eastAsia="仿宋_GB2312" w:cs="仿宋_GB2312"/>
          <w:b w:val="0"/>
          <w:bCs w:val="0"/>
          <w:color w:val="555555"/>
          <w:sz w:val="30"/>
          <w:szCs w:val="30"/>
          <w:shd w:val="clear" w:color="auto" w:fill="FFFFFF"/>
        </w:rPr>
        <w:t>苍溪、</w:t>
      </w:r>
      <w:r>
        <w:rPr>
          <w:rFonts w:hint="eastAsia" w:ascii="仿宋_GB2312" w:hAnsi="仿宋_GB2312" w:eastAsia="仿宋_GB2312" w:cs="仿宋_GB2312"/>
          <w:b w:val="0"/>
          <w:bCs w:val="0"/>
          <w:color w:val="555555"/>
          <w:shd w:val="clear" w:color="auto" w:fill="FFFFFF"/>
        </w:rPr>
        <w:t>阆中</w:t>
      </w:r>
      <w:r>
        <w:rPr>
          <w:rFonts w:hint="eastAsia" w:ascii="仿宋_GB2312" w:hAnsi="仿宋_GB2312" w:eastAsia="仿宋_GB2312" w:cs="仿宋_GB2312"/>
          <w:color w:val="555555"/>
          <w:shd w:val="clear" w:color="auto" w:fill="FFFFFF"/>
        </w:rPr>
        <w:t>三</w:t>
      </w:r>
      <w:r>
        <w:rPr>
          <w:rFonts w:hint="eastAsia" w:ascii="仿宋_GB2312" w:hAnsi="仿宋_GB2312" w:eastAsia="仿宋_GB2312" w:cs="仿宋_GB2312"/>
          <w:b w:val="0"/>
          <w:bCs w:val="0"/>
          <w:color w:val="555555"/>
          <w:shd w:val="clear" w:color="auto" w:fill="FFFFFF"/>
        </w:rPr>
        <w:t>县毗邻地</w:t>
      </w:r>
      <w:r>
        <w:rPr>
          <w:rFonts w:hint="eastAsia" w:ascii="仿宋_GB2312" w:hAnsi="仿宋" w:eastAsia="仿宋_GB2312" w:cs="Times New Roman"/>
          <w:b w:val="0"/>
          <w:bCs w:val="0"/>
        </w:rPr>
        <w:t>，全镇幅员面积18平方公里，全镇辖11个村1个居委会，辖区农业人口近1.8万余人。羊岭镇卫生院坐落于羊岭镇场镇河东街15号，占地面积1500余平方米，建筑面积1766.4余平方米，业务用房1130余平方米，辐射周边6个乡镇，服务半径11公里。</w:t>
      </w:r>
      <w:bookmarkEnd w:id="24"/>
      <w:bookmarkEnd w:id="25"/>
    </w:p>
    <w:p>
      <w:pPr>
        <w:ind w:firstLine="640" w:firstLineChars="200"/>
      </w:pPr>
      <w:r>
        <w:rPr>
          <w:rFonts w:hint="eastAsia" w:ascii="仿宋_GB2312" w:hAnsi="仿宋" w:eastAsia="仿宋_GB2312"/>
          <w:sz w:val="32"/>
          <w:szCs w:val="32"/>
        </w:rPr>
        <w:t>我院是一所由政府举办的集基本医疗、儿妇保、计划生育指导、预防保健为一体的非营利性医疗机构，开设有放射科、检验科、内科、儿科、外科、五官口腔科、中医科、康复理疗科等临床医技科室，配置有B超、全自动生化仪、心电图、全套理疗设备等先进医疗设备。</w:t>
      </w:r>
    </w:p>
    <w:p/>
    <w:p>
      <w:pPr>
        <w:pStyle w:val="4"/>
        <w:numPr>
          <w:ilvl w:val="0"/>
          <w:numId w:val="1"/>
        </w:numPr>
        <w:rPr>
          <w:rFonts w:ascii="黑体" w:hAnsi="黑体" w:eastAsia="黑体"/>
          <w:b w:val="0"/>
        </w:rPr>
      </w:pPr>
      <w:bookmarkStart w:id="26" w:name="_Toc23697"/>
      <w:bookmarkStart w:id="27" w:name="_Toc19901"/>
      <w:r>
        <w:rPr>
          <w:rFonts w:hint="eastAsia" w:ascii="黑体" w:hAnsi="黑体" w:eastAsia="黑体"/>
          <w:b w:val="0"/>
        </w:rPr>
        <w:t>机构设置</w:t>
      </w:r>
      <w:bookmarkEnd w:id="26"/>
      <w:bookmarkEnd w:id="27"/>
    </w:p>
    <w:p>
      <w:pPr>
        <w:pStyle w:val="4"/>
        <w:snapToGrid w:val="0"/>
        <w:spacing w:line="240" w:lineRule="auto"/>
        <w:ind w:firstLine="640" w:firstLineChars="200"/>
        <w:rPr>
          <w:rFonts w:ascii="仿宋_GB2312" w:hAnsi="仿宋" w:eastAsia="仿宋_GB2312" w:cs="Times New Roman"/>
          <w:b w:val="0"/>
          <w:bCs w:val="0"/>
        </w:rPr>
      </w:pPr>
      <w:bookmarkStart w:id="28" w:name="_Toc17592"/>
      <w:bookmarkStart w:id="29" w:name="_Toc14553"/>
      <w:r>
        <w:rPr>
          <w:rFonts w:hint="eastAsia" w:ascii="仿宋_GB2312" w:hAnsi="仿宋" w:eastAsia="仿宋_GB2312" w:cs="Times New Roman"/>
          <w:b w:val="0"/>
          <w:bCs w:val="0"/>
        </w:rPr>
        <w:t>1．我院是一所由政府举办的集基本医疗、儿妇保、计划生育指导、预防保健为一体的非营利性医疗机构，开设有放射科、检验科、内科、儿科、外科、五官口腔科、中医科、康复理疗科等临床医技科室，配置有B超、全自动血球仪、生化仪、心电图、全套理疗设备等先进医疗设备。</w:t>
      </w:r>
      <w:bookmarkEnd w:id="28"/>
      <w:bookmarkEnd w:id="29"/>
    </w:p>
    <w:p>
      <w:pPr>
        <w:snapToGrid w:val="0"/>
        <w:rPr>
          <w:rFonts w:ascii="仿宋_GB2312" w:hAnsi="仿宋" w:eastAsia="仿宋_GB2312"/>
          <w:sz w:val="32"/>
          <w:szCs w:val="32"/>
        </w:rPr>
      </w:pPr>
    </w:p>
    <w:p>
      <w:pPr>
        <w:ind w:firstLine="640" w:firstLineChars="200"/>
      </w:pPr>
      <w:r>
        <w:rPr>
          <w:rFonts w:hint="eastAsia" w:ascii="仿宋_GB2312" w:hAnsi="仿宋" w:eastAsia="仿宋_GB2312"/>
          <w:sz w:val="32"/>
          <w:szCs w:val="32"/>
        </w:rPr>
        <w:t>2 ．本院今年新增2个人，自动辞职1人。</w:t>
      </w:r>
    </w:p>
    <w:bookmarkEnd w:id="22"/>
    <w:bookmarkEnd w:id="23"/>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7"/>
          <w:rFonts w:ascii="黑体" w:hAnsi="黑体" w:eastAsia="黑体"/>
          <w:b w:val="0"/>
          <w:bCs/>
        </w:rPr>
      </w:pPr>
      <w:bookmarkStart w:id="30" w:name="_Toc15377204"/>
      <w:bookmarkStart w:id="31" w:name="_Toc2556"/>
      <w:bookmarkStart w:id="32" w:name="_Toc15396602"/>
      <w:r>
        <w:rPr>
          <w:rFonts w:hint="eastAsia" w:ascii="黑体" w:hAnsi="黑体" w:eastAsia="黑体"/>
          <w:b w:val="0"/>
        </w:rPr>
        <w:t>第二部分 2022年度</w:t>
      </w:r>
      <w:r>
        <w:rPr>
          <w:rStyle w:val="27"/>
          <w:rFonts w:hint="eastAsia" w:ascii="黑体" w:hAnsi="黑体" w:eastAsia="黑体"/>
          <w:b w:val="0"/>
          <w:bCs/>
        </w:rPr>
        <w:t>单位决算情况说明</w:t>
      </w:r>
      <w:bookmarkEnd w:id="30"/>
      <w:bookmarkEnd w:id="31"/>
      <w:bookmarkEnd w:id="32"/>
    </w:p>
    <w:p/>
    <w:p>
      <w:pPr>
        <w:pStyle w:val="26"/>
        <w:numPr>
          <w:ilvl w:val="0"/>
          <w:numId w:val="2"/>
        </w:numPr>
        <w:spacing w:line="600" w:lineRule="exact"/>
        <w:ind w:firstLineChars="0"/>
        <w:outlineLvl w:val="1"/>
        <w:rPr>
          <w:rStyle w:val="28"/>
          <w:rFonts w:ascii="黑体" w:hAnsi="黑体" w:eastAsia="黑体"/>
          <w:b w:val="0"/>
        </w:rPr>
      </w:pPr>
      <w:bookmarkStart w:id="33" w:name="_Toc15396603"/>
      <w:bookmarkStart w:id="34" w:name="_Toc15377205"/>
      <w:bookmarkStart w:id="35" w:name="_Toc6813"/>
      <w:r>
        <w:rPr>
          <w:rFonts w:hint="eastAsia" w:ascii="黑体" w:hAnsi="黑体" w:eastAsia="黑体"/>
          <w:sz w:val="32"/>
          <w:szCs w:val="32"/>
        </w:rPr>
        <w:t>收</w:t>
      </w:r>
      <w:r>
        <w:rPr>
          <w:rStyle w:val="28"/>
          <w:rFonts w:hint="eastAsia" w:ascii="黑体" w:hAnsi="黑体" w:eastAsia="黑体"/>
          <w:b w:val="0"/>
        </w:rPr>
        <w:t>入支出决算总体情况说明</w:t>
      </w:r>
      <w:bookmarkEnd w:id="33"/>
      <w:bookmarkEnd w:id="34"/>
      <w:bookmarkEnd w:id="35"/>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w:t>
      </w:r>
      <w:r>
        <w:rPr>
          <w:rFonts w:hint="eastAsia" w:ascii="仿宋" w:hAnsi="仿宋" w:eastAsia="仿宋"/>
          <w:sz w:val="32"/>
          <w:szCs w:val="32"/>
          <w:lang w:val="en-US" w:eastAsia="zh-CN"/>
        </w:rPr>
        <w:t>入支出</w:t>
      </w:r>
      <w:r>
        <w:rPr>
          <w:rFonts w:hint="eastAsia" w:ascii="仿宋" w:hAnsi="仿宋" w:eastAsia="仿宋"/>
          <w:sz w:val="32"/>
          <w:szCs w:val="32"/>
        </w:rPr>
        <w:t>总计</w:t>
      </w:r>
      <w:r>
        <w:rPr>
          <w:rFonts w:hint="eastAsia" w:ascii="仿宋" w:hAnsi="仿宋" w:eastAsia="仿宋"/>
          <w:sz w:val="32"/>
          <w:szCs w:val="32"/>
          <w:lang w:val="en-US" w:eastAsia="zh-CN"/>
        </w:rPr>
        <w:t>263.1</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p>
    <w:p>
      <w:pPr>
        <w:pStyle w:val="26"/>
        <w:numPr>
          <w:ilvl w:val="0"/>
          <w:numId w:val="2"/>
        </w:numPr>
        <w:spacing w:line="600" w:lineRule="exact"/>
        <w:ind w:firstLineChars="0"/>
        <w:outlineLvl w:val="1"/>
        <w:rPr>
          <w:rStyle w:val="28"/>
          <w:rFonts w:ascii="黑体" w:hAnsi="黑体" w:eastAsia="黑体"/>
          <w:b w:val="0"/>
        </w:rPr>
      </w:pPr>
      <w:bookmarkStart w:id="36" w:name="_Toc15377206"/>
      <w:bookmarkStart w:id="37" w:name="_Toc27218"/>
      <w:bookmarkStart w:id="38" w:name="_Toc15396604"/>
      <w:r>
        <w:rPr>
          <w:rFonts w:hint="eastAsia" w:ascii="黑体" w:hAnsi="黑体" w:eastAsia="黑体"/>
          <w:sz w:val="32"/>
          <w:szCs w:val="32"/>
        </w:rPr>
        <w:t>收</w:t>
      </w:r>
      <w:r>
        <w:rPr>
          <w:rStyle w:val="28"/>
          <w:rFonts w:hint="eastAsia" w:ascii="黑体" w:hAnsi="黑体" w:eastAsia="黑体"/>
          <w:b w:val="0"/>
        </w:rPr>
        <w:t>入决算情况说明</w:t>
      </w:r>
      <w:bookmarkEnd w:id="36"/>
      <w:bookmarkEnd w:id="37"/>
      <w:bookmarkEnd w:id="38"/>
    </w:p>
    <w:p>
      <w:pPr>
        <w:spacing w:line="600" w:lineRule="exact"/>
        <w:ind w:firstLine="640" w:firstLineChars="200"/>
        <w:outlineLvl w:val="1"/>
        <w:rPr>
          <w:rFonts w:ascii="仿宋" w:hAnsi="仿宋" w:eastAsia="仿宋"/>
          <w:sz w:val="32"/>
          <w:szCs w:val="32"/>
        </w:rPr>
      </w:pPr>
      <w:bookmarkStart w:id="39" w:name="_Toc23616"/>
      <w:bookmarkStart w:id="40" w:name="_Toc3415"/>
      <w:r>
        <w:rPr>
          <w:rFonts w:ascii="仿宋" w:hAnsi="仿宋" w:eastAsia="仿宋"/>
          <w:sz w:val="32"/>
          <w:szCs w:val="32"/>
        </w:rPr>
        <w:t>20</w:t>
      </w:r>
      <w:r>
        <w:rPr>
          <w:rFonts w:hint="eastAsia" w:ascii="仿宋" w:hAnsi="仿宋" w:eastAsia="仿宋"/>
          <w:sz w:val="32"/>
          <w:szCs w:val="32"/>
        </w:rPr>
        <w:t>22年本年收入合计263.1万元，其中：一般公共预算财政拨款收入141.2万元，占53.67</w:t>
      </w:r>
      <w:r>
        <w:rPr>
          <w:rFonts w:ascii="仿宋" w:hAnsi="仿宋" w:eastAsia="仿宋"/>
          <w:sz w:val="32"/>
          <w:szCs w:val="32"/>
        </w:rPr>
        <w:t>%</w:t>
      </w:r>
      <w:r>
        <w:rPr>
          <w:rFonts w:hint="eastAsia" w:ascii="仿宋" w:hAnsi="仿宋" w:eastAsia="仿宋"/>
          <w:sz w:val="32"/>
          <w:szCs w:val="32"/>
        </w:rPr>
        <w:t>；事业收入115.1</w:t>
      </w:r>
      <w:r>
        <w:rPr>
          <w:rFonts w:hint="eastAsia" w:ascii="仿宋" w:hAnsi="仿宋" w:eastAsia="仿宋"/>
          <w:sz w:val="32"/>
          <w:szCs w:val="32"/>
          <w:lang w:val="en-US" w:eastAsia="zh-CN"/>
        </w:rPr>
        <w:t>2</w:t>
      </w:r>
      <w:r>
        <w:rPr>
          <w:rFonts w:hint="eastAsia" w:ascii="仿宋" w:hAnsi="仿宋" w:eastAsia="仿宋"/>
          <w:sz w:val="32"/>
          <w:szCs w:val="32"/>
        </w:rPr>
        <w:t>万元，占43.74</w:t>
      </w:r>
      <w:r>
        <w:rPr>
          <w:rFonts w:ascii="仿宋" w:hAnsi="仿宋" w:eastAsia="仿宋"/>
          <w:sz w:val="32"/>
          <w:szCs w:val="32"/>
        </w:rPr>
        <w:t>%</w:t>
      </w:r>
      <w:r>
        <w:rPr>
          <w:rFonts w:hint="eastAsia" w:ascii="仿宋" w:hAnsi="仿宋" w:eastAsia="仿宋"/>
          <w:sz w:val="32"/>
          <w:szCs w:val="32"/>
        </w:rPr>
        <w:t>；其他收入6.</w:t>
      </w:r>
      <w:r>
        <w:rPr>
          <w:rFonts w:hint="eastAsia" w:ascii="仿宋" w:hAnsi="仿宋" w:eastAsia="仿宋"/>
          <w:sz w:val="32"/>
          <w:szCs w:val="32"/>
          <w:lang w:val="en-US" w:eastAsia="zh-CN"/>
        </w:rPr>
        <w:t>7</w:t>
      </w:r>
      <w:r>
        <w:rPr>
          <w:rFonts w:hint="eastAsia" w:ascii="仿宋" w:hAnsi="仿宋" w:eastAsia="仿宋"/>
          <w:sz w:val="32"/>
          <w:szCs w:val="32"/>
        </w:rPr>
        <w:t>8万元，占2.58</w:t>
      </w:r>
      <w:r>
        <w:rPr>
          <w:rFonts w:ascii="仿宋" w:hAnsi="仿宋" w:eastAsia="仿宋"/>
          <w:sz w:val="32"/>
          <w:szCs w:val="32"/>
        </w:rPr>
        <w:t>%</w:t>
      </w:r>
      <w:r>
        <w:rPr>
          <w:rFonts w:hint="eastAsia" w:ascii="仿宋" w:hAnsi="仿宋" w:eastAsia="仿宋"/>
          <w:sz w:val="32"/>
          <w:szCs w:val="32"/>
        </w:rPr>
        <w:t>。</w:t>
      </w:r>
      <w:bookmarkEnd w:id="39"/>
      <w:bookmarkEnd w:id="40"/>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385445</wp:posOffset>
            </wp:positionH>
            <wp:positionV relativeFrom="paragraph">
              <wp:posOffset>154305</wp:posOffset>
            </wp:positionV>
            <wp:extent cx="5256530" cy="2988310"/>
            <wp:effectExtent l="5080" t="4445" r="11430" b="95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rPr>
          <w:rFonts w:ascii="仿宋_GB2312" w:eastAsia="仿宋_GB2312"/>
          <w:sz w:val="32"/>
          <w:szCs w:val="32"/>
        </w:rPr>
      </w:pPr>
    </w:p>
    <w:p>
      <w:pPr>
        <w:pStyle w:val="26"/>
        <w:numPr>
          <w:ilvl w:val="0"/>
          <w:numId w:val="2"/>
        </w:numPr>
        <w:spacing w:line="600" w:lineRule="exact"/>
        <w:ind w:firstLineChars="0"/>
        <w:outlineLvl w:val="1"/>
        <w:rPr>
          <w:rStyle w:val="28"/>
          <w:rFonts w:ascii="黑体" w:hAnsi="黑体" w:eastAsia="黑体"/>
          <w:b w:val="0"/>
        </w:rPr>
      </w:pPr>
      <w:bookmarkStart w:id="41" w:name="_Toc15396605"/>
      <w:bookmarkStart w:id="42" w:name="_Toc22050"/>
      <w:bookmarkStart w:id="43" w:name="_Toc15377207"/>
      <w:r>
        <w:rPr>
          <w:rFonts w:hint="eastAsia" w:ascii="黑体" w:hAnsi="黑体" w:eastAsia="黑体"/>
          <w:sz w:val="32"/>
          <w:szCs w:val="32"/>
        </w:rPr>
        <w:t>支</w:t>
      </w:r>
      <w:r>
        <w:rPr>
          <w:rStyle w:val="28"/>
          <w:rFonts w:hint="eastAsia" w:ascii="黑体" w:hAnsi="黑体" w:eastAsia="黑体"/>
          <w:b w:val="0"/>
        </w:rPr>
        <w:t>出决算情况说明</w:t>
      </w:r>
      <w:bookmarkEnd w:id="41"/>
      <w:bookmarkEnd w:id="42"/>
      <w:bookmarkEnd w:id="43"/>
    </w:p>
    <w:p>
      <w:pPr>
        <w:spacing w:line="600" w:lineRule="exact"/>
        <w:ind w:firstLine="640" w:firstLineChars="200"/>
        <w:outlineLvl w:val="1"/>
        <w:rPr>
          <w:rFonts w:hint="eastAsia" w:ascii="仿宋" w:hAnsi="仿宋" w:eastAsia="仿宋"/>
          <w:sz w:val="32"/>
          <w:szCs w:val="32"/>
          <w:lang w:eastAsia="zh-CN"/>
        </w:rPr>
      </w:pPr>
      <w:bookmarkStart w:id="44" w:name="_Toc25342"/>
      <w:bookmarkStart w:id="45" w:name="_Toc20442"/>
      <w:r>
        <w:rPr>
          <w:rFonts w:ascii="仿宋" w:hAnsi="仿宋" w:eastAsia="仿宋"/>
          <w:sz w:val="32"/>
          <w:szCs w:val="32"/>
        </w:rPr>
        <w:t>20</w:t>
      </w:r>
      <w:r>
        <w:rPr>
          <w:rFonts w:hint="eastAsia" w:ascii="仿宋" w:hAnsi="仿宋" w:eastAsia="仿宋"/>
          <w:sz w:val="32"/>
          <w:szCs w:val="32"/>
        </w:rPr>
        <w:t>22年本年支出合计263.1万元，其中：基本支出263.1万元，占100.00</w:t>
      </w:r>
      <w:r>
        <w:rPr>
          <w:rFonts w:ascii="仿宋" w:hAnsi="仿宋" w:eastAsia="仿宋"/>
          <w:sz w:val="32"/>
          <w:szCs w:val="32"/>
        </w:rPr>
        <w:t>%</w:t>
      </w:r>
      <w:bookmarkEnd w:id="44"/>
      <w:bookmarkEnd w:id="45"/>
      <w:r>
        <w:rPr>
          <w:rFonts w:hint="eastAsia" w:ascii="仿宋" w:hAnsi="仿宋" w:eastAsia="仿宋"/>
          <w:sz w:val="32"/>
          <w:szCs w:val="32"/>
          <w:lang w:eastAsia="zh-CN"/>
        </w:rPr>
        <w:t>。</w:t>
      </w:r>
    </w:p>
    <w:p>
      <w:pPr>
        <w:spacing w:line="600" w:lineRule="exact"/>
        <w:rPr>
          <w:rFonts w:ascii="仿宋" w:hAnsi="仿宋" w:eastAsia="仿宋"/>
          <w:sz w:val="32"/>
          <w:szCs w:val="32"/>
          <w:shd w:val="pct10" w:color="auto" w:fill="FFFFFF"/>
        </w:rPr>
      </w:pPr>
      <w:r>
        <w:rPr>
          <w:rFonts w:hint="eastAsia" w:ascii="仿宋" w:hAnsi="仿宋" w:eastAsia="仿宋"/>
          <w:sz w:val="32"/>
          <w:szCs w:val="32"/>
          <w:shd w:val="pct10" w:color="auto" w:fill="FFFFFF"/>
        </w:rPr>
        <w:drawing>
          <wp:anchor distT="0" distB="0" distL="114300" distR="114300" simplePos="0" relativeHeight="251660288" behindDoc="0" locked="0" layoutInCell="1" allowOverlap="1">
            <wp:simplePos x="0" y="0"/>
            <wp:positionH relativeFrom="column">
              <wp:posOffset>343535</wp:posOffset>
            </wp:positionH>
            <wp:positionV relativeFrom="paragraph">
              <wp:posOffset>-427355</wp:posOffset>
            </wp:positionV>
            <wp:extent cx="5256530" cy="2988310"/>
            <wp:effectExtent l="5080" t="4445" r="11430" b="952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28"/>
          <w:rFonts w:ascii="黑体" w:hAnsi="黑体" w:eastAsia="黑体"/>
          <w:b w:val="0"/>
        </w:rPr>
      </w:pPr>
      <w:bookmarkStart w:id="46" w:name="_Toc15396606"/>
      <w:bookmarkStart w:id="47" w:name="_Toc15377208"/>
      <w:bookmarkStart w:id="48" w:name="_Toc20222"/>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46"/>
      <w:bookmarkEnd w:id="47"/>
      <w:bookmarkEnd w:id="4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22年财政拨款收、支总计141.2万元。</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p>
    <w:p>
      <w:pPr>
        <w:spacing w:line="600" w:lineRule="exact"/>
        <w:ind w:firstLine="640" w:firstLineChars="200"/>
        <w:outlineLvl w:val="1"/>
        <w:rPr>
          <w:rStyle w:val="28"/>
          <w:rFonts w:ascii="黑体" w:hAnsi="黑体" w:eastAsia="黑体"/>
          <w:b w:val="0"/>
        </w:rPr>
      </w:pPr>
      <w:bookmarkStart w:id="49" w:name="_Toc15377209"/>
      <w:bookmarkStart w:id="50" w:name="_Toc15396607"/>
      <w:bookmarkStart w:id="51" w:name="_Toc15304"/>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sz w:val="32"/>
          <w:szCs w:val="32"/>
        </w:rPr>
      </w:pPr>
      <w:bookmarkStart w:id="52" w:name="_Toc15377210"/>
      <w:bookmarkStart w:id="53" w:name="_Toc17595"/>
      <w:r>
        <w:rPr>
          <w:rFonts w:hint="eastAsia" w:ascii="仿宋" w:hAnsi="仿宋" w:eastAsia="仿宋"/>
          <w:b/>
          <w:sz w:val="32"/>
          <w:szCs w:val="32"/>
        </w:rPr>
        <w:t>（一）一般公共预算财政拨款支出决算总体情况</w:t>
      </w:r>
      <w:bookmarkEnd w:id="52"/>
      <w:bookmarkEnd w:id="5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22年一般公共预算财政拨款支出141.2万元，占本年支出合计的53.67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p>
    <w:p>
      <w:pPr>
        <w:spacing w:line="600" w:lineRule="exact"/>
        <w:ind w:firstLine="643" w:firstLineChars="200"/>
        <w:outlineLvl w:val="2"/>
        <w:rPr>
          <w:rFonts w:ascii="仿宋" w:hAnsi="仿宋" w:eastAsia="仿宋"/>
          <w:b/>
          <w:sz w:val="32"/>
          <w:szCs w:val="32"/>
        </w:rPr>
      </w:pPr>
      <w:bookmarkStart w:id="54" w:name="_Toc6362"/>
      <w:bookmarkStart w:id="55" w:name="_Toc15377211"/>
      <w:r>
        <w:rPr>
          <w:rFonts w:hint="eastAsia" w:ascii="仿宋" w:hAnsi="仿宋" w:eastAsia="仿宋"/>
          <w:b/>
          <w:sz w:val="32"/>
          <w:szCs w:val="32"/>
        </w:rPr>
        <w:t>（二）一般公共预算财政拨款支出决算结构情况</w:t>
      </w:r>
      <w:bookmarkEnd w:id="54"/>
      <w:bookmarkEnd w:id="55"/>
    </w:p>
    <w:p>
      <w:pPr>
        <w:spacing w:line="600" w:lineRule="exact"/>
        <w:ind w:firstLine="640"/>
        <w:rPr>
          <w:rFonts w:hint="eastAsia" w:ascii="仿宋" w:hAnsi="仿宋" w:eastAsia="仿宋"/>
          <w:b/>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22年一般公共预算财政拨款支出141.2万元，主要用于以下方面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支出8.00</w:t>
      </w:r>
      <w:r>
        <w:rPr>
          <w:rFonts w:hint="eastAsia" w:ascii="仿宋" w:hAnsi="仿宋" w:eastAsia="仿宋"/>
          <w:sz w:val="32"/>
          <w:szCs w:val="32"/>
        </w:rPr>
        <w:t>万元，占5.67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卫生健康支出133.2</w:t>
      </w:r>
      <w:r>
        <w:rPr>
          <w:rFonts w:hint="eastAsia" w:ascii="仿宋" w:hAnsi="仿宋" w:eastAsia="仿宋"/>
          <w:sz w:val="32"/>
          <w:szCs w:val="32"/>
        </w:rPr>
        <w:t>万元，占94.33</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1312" behindDoc="0" locked="0" layoutInCell="1" allowOverlap="1">
            <wp:simplePos x="0" y="0"/>
            <wp:positionH relativeFrom="column">
              <wp:posOffset>-307975</wp:posOffset>
            </wp:positionH>
            <wp:positionV relativeFrom="paragraph">
              <wp:posOffset>65405</wp:posOffset>
            </wp:positionV>
            <wp:extent cx="5253990" cy="2981960"/>
            <wp:effectExtent l="19050" t="0" r="22860" b="889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3" w:firstLineChars="200"/>
        <w:outlineLvl w:val="2"/>
        <w:rPr>
          <w:rFonts w:ascii="仿宋" w:hAnsi="仿宋" w:eastAsia="仿宋"/>
          <w:b/>
          <w:sz w:val="32"/>
          <w:szCs w:val="32"/>
        </w:rPr>
      </w:pPr>
      <w:bookmarkStart w:id="56" w:name="_Toc15377212"/>
      <w:bookmarkStart w:id="57" w:name="_Toc30917"/>
      <w:r>
        <w:rPr>
          <w:rFonts w:hint="eastAsia" w:ascii="仿宋" w:hAnsi="仿宋" w:eastAsia="仿宋"/>
          <w:b/>
          <w:sz w:val="32"/>
          <w:szCs w:val="32"/>
        </w:rPr>
        <w:t>（三）一般公共预算财政拨款支出决算具体情况</w:t>
      </w:r>
      <w:bookmarkEnd w:id="56"/>
      <w:bookmarkEnd w:id="57"/>
    </w:p>
    <w:p>
      <w:pPr>
        <w:spacing w:line="600" w:lineRule="exact"/>
        <w:ind w:firstLine="643" w:firstLineChars="200"/>
        <w:outlineLvl w:val="1"/>
        <w:rPr>
          <w:rFonts w:ascii="仿宋" w:hAnsi="仿宋" w:eastAsia="仿宋"/>
          <w:sz w:val="32"/>
          <w:szCs w:val="32"/>
        </w:rPr>
      </w:pPr>
      <w:bookmarkStart w:id="58" w:name="_Toc11874"/>
      <w:bookmarkStart w:id="59" w:name="_Toc2208"/>
      <w:bookmarkStart w:id="60" w:name="_Toc15377444"/>
      <w:bookmarkStart w:id="61" w:name="_Toc15378460"/>
      <w:bookmarkStart w:id="62" w:name="_Toc15377213"/>
      <w:r>
        <w:rPr>
          <w:rFonts w:hint="eastAsia" w:ascii="仿宋" w:hAnsi="仿宋" w:eastAsia="仿宋"/>
          <w:b/>
          <w:sz w:val="32"/>
          <w:szCs w:val="32"/>
        </w:rPr>
        <w:t>2022年一般公共预算支出决算数为141.2</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58"/>
      <w:bookmarkEnd w:id="59"/>
      <w:bookmarkEnd w:id="60"/>
      <w:bookmarkEnd w:id="61"/>
      <w:bookmarkEnd w:id="62"/>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1</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（类）行政事业单位养老支出（款） 机关事业单位基本养老保险缴费支出（项）</w:t>
      </w:r>
      <w:r>
        <w:rPr>
          <w:rStyle w:val="17"/>
          <w:rFonts w:ascii="仿宋" w:hAnsi="仿宋" w:eastAsia="仿宋"/>
          <w:bCs/>
          <w:sz w:val="32"/>
          <w:szCs w:val="32"/>
        </w:rPr>
        <w:t>:</w:t>
      </w:r>
      <w:r>
        <w:rPr>
          <w:rStyle w:val="17"/>
          <w:rFonts w:hint="eastAsia" w:ascii="仿宋" w:hAnsi="仿宋" w:eastAsia="仿宋"/>
          <w:b w:val="0"/>
          <w:bCs/>
          <w:sz w:val="32"/>
          <w:szCs w:val="32"/>
        </w:rPr>
        <w:t>支出决算为8.00万元，完成预算100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2.卫生健康</w:t>
      </w:r>
      <w:r>
        <w:rPr>
          <w:rStyle w:val="17"/>
          <w:rFonts w:hint="eastAsia" w:ascii="仿宋" w:hAnsi="仿宋" w:eastAsia="仿宋"/>
          <w:bCs/>
          <w:sz w:val="32"/>
          <w:szCs w:val="32"/>
        </w:rPr>
        <w:t>（类）基层医疗卫生机构（款）乡镇卫生院（项）</w:t>
      </w:r>
      <w:r>
        <w:rPr>
          <w:rStyle w:val="17"/>
          <w:rFonts w:ascii="仿宋" w:hAnsi="仿宋" w:eastAsia="仿宋"/>
          <w:bCs/>
          <w:sz w:val="32"/>
          <w:szCs w:val="32"/>
        </w:rPr>
        <w:t>:</w:t>
      </w:r>
      <w:r>
        <w:rPr>
          <w:rStyle w:val="17"/>
          <w:rFonts w:hint="eastAsia" w:ascii="仿宋" w:hAnsi="仿宋" w:eastAsia="仿宋"/>
          <w:b w:val="0"/>
          <w:bCs/>
          <w:sz w:val="32"/>
          <w:szCs w:val="32"/>
        </w:rPr>
        <w:t>支出决算为59.43万元，完成预算100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3.卫生健康</w:t>
      </w:r>
      <w:r>
        <w:rPr>
          <w:rStyle w:val="17"/>
          <w:rFonts w:hint="eastAsia" w:ascii="仿宋" w:hAnsi="仿宋" w:eastAsia="仿宋"/>
          <w:bCs/>
          <w:sz w:val="32"/>
          <w:szCs w:val="32"/>
        </w:rPr>
        <w:t>（类）基层医疗卫生机构（款）其他基层医疗卫生机构支出（项）</w:t>
      </w:r>
      <w:r>
        <w:rPr>
          <w:rStyle w:val="17"/>
          <w:rFonts w:ascii="仿宋" w:hAnsi="仿宋" w:eastAsia="仿宋"/>
          <w:bCs/>
          <w:sz w:val="32"/>
          <w:szCs w:val="32"/>
        </w:rPr>
        <w:t>:</w:t>
      </w:r>
      <w:r>
        <w:rPr>
          <w:rStyle w:val="17"/>
          <w:rFonts w:hint="eastAsia" w:ascii="仿宋" w:hAnsi="仿宋" w:eastAsia="仿宋"/>
          <w:b w:val="0"/>
          <w:bCs/>
          <w:sz w:val="32"/>
          <w:szCs w:val="32"/>
        </w:rPr>
        <w:t>支出决算为10.11万元，完成预算100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4.卫生健康</w:t>
      </w:r>
      <w:r>
        <w:rPr>
          <w:rStyle w:val="17"/>
          <w:rFonts w:hint="eastAsia" w:ascii="仿宋" w:hAnsi="仿宋" w:eastAsia="仿宋"/>
          <w:bCs/>
          <w:sz w:val="32"/>
          <w:szCs w:val="32"/>
        </w:rPr>
        <w:t>（类）公共卫生（款）基本公共卫生服务（项）</w:t>
      </w:r>
      <w:r>
        <w:rPr>
          <w:rStyle w:val="17"/>
          <w:rFonts w:ascii="仿宋" w:hAnsi="仿宋" w:eastAsia="仿宋"/>
          <w:bCs/>
          <w:sz w:val="32"/>
          <w:szCs w:val="32"/>
        </w:rPr>
        <w:t>:</w:t>
      </w:r>
      <w:r>
        <w:rPr>
          <w:rStyle w:val="17"/>
          <w:rFonts w:hint="eastAsia" w:ascii="仿宋" w:hAnsi="仿宋" w:eastAsia="仿宋"/>
          <w:b w:val="0"/>
          <w:bCs/>
          <w:sz w:val="32"/>
          <w:szCs w:val="32"/>
        </w:rPr>
        <w:t>支出决算为59.66万元，完成预算100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Cs/>
          <w:sz w:val="32"/>
          <w:szCs w:val="32"/>
        </w:rPr>
      </w:pPr>
      <w:r>
        <w:rPr>
          <w:rFonts w:hint="eastAsia" w:ascii="仿宋" w:hAnsi="仿宋" w:eastAsia="仿宋"/>
          <w:b/>
          <w:bCs/>
          <w:sz w:val="32"/>
          <w:szCs w:val="32"/>
        </w:rPr>
        <w:t>5.卫生健康</w:t>
      </w:r>
      <w:r>
        <w:rPr>
          <w:rStyle w:val="17"/>
          <w:rFonts w:hint="eastAsia" w:ascii="仿宋" w:hAnsi="仿宋" w:eastAsia="仿宋"/>
          <w:bCs/>
          <w:sz w:val="32"/>
          <w:szCs w:val="32"/>
        </w:rPr>
        <w:t>（类）行政事业单位医疗（款）事业单位医疗（项）</w:t>
      </w:r>
      <w:r>
        <w:rPr>
          <w:rStyle w:val="17"/>
          <w:rFonts w:ascii="仿宋" w:hAnsi="仿宋" w:eastAsia="仿宋"/>
          <w:bCs/>
          <w:sz w:val="32"/>
          <w:szCs w:val="32"/>
        </w:rPr>
        <w:t>:</w:t>
      </w:r>
      <w:r>
        <w:rPr>
          <w:rStyle w:val="17"/>
          <w:rFonts w:hint="eastAsia" w:ascii="仿宋" w:hAnsi="仿宋" w:eastAsia="仿宋"/>
          <w:b w:val="0"/>
          <w:bCs/>
          <w:sz w:val="32"/>
          <w:szCs w:val="32"/>
        </w:rPr>
        <w:t>支出决算为4.0万元，完成预算100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63" w:name="_Toc15377214"/>
      <w:bookmarkStart w:id="64" w:name="_Toc15594"/>
      <w:bookmarkStart w:id="6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63"/>
      <w:bookmarkEnd w:id="64"/>
      <w:bookmarkEnd w:id="6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22年一般公共预算财政拨款基本支出141.2万元，其中：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人员经费80.96万元，主要包括：基本工资、津贴补贴、绩效工资、机关事业单位基本养老保险缴费、职工基本医疗保险缴费、其他社会保障缴费、其他工资福利支出</w:t>
      </w:r>
      <w:r>
        <w:rPr>
          <w:rFonts w:hint="eastAsia" w:ascii="仿宋" w:hAnsi="仿宋" w:eastAsia="仿宋"/>
          <w:sz w:val="32"/>
          <w:szCs w:val="32"/>
          <w:lang w:eastAsia="zh-CN"/>
        </w:rPr>
        <w:t>、</w:t>
      </w:r>
      <w:r>
        <w:rPr>
          <w:rFonts w:hint="eastAsia" w:ascii="仿宋" w:hAnsi="仿宋" w:eastAsia="仿宋"/>
          <w:sz w:val="32"/>
          <w:szCs w:val="32"/>
        </w:rPr>
        <w:t>生活补助</w:t>
      </w:r>
      <w:r>
        <w:rPr>
          <w:rFonts w:hint="eastAsia" w:ascii="仿宋" w:hAnsi="仿宋" w:eastAsia="仿宋"/>
          <w:sz w:val="32"/>
          <w:szCs w:val="32"/>
          <w:lang w:eastAsia="zh-CN"/>
        </w:rPr>
        <w:t>、</w:t>
      </w:r>
      <w:r>
        <w:rPr>
          <w:rFonts w:hint="eastAsia" w:ascii="仿宋" w:hAnsi="仿宋" w:eastAsia="仿宋"/>
          <w:sz w:val="32"/>
          <w:szCs w:val="32"/>
        </w:rPr>
        <w:t>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公用经费60.24万元，主要包括：公务接待费、</w:t>
      </w:r>
      <w:r>
        <w:rPr>
          <w:rFonts w:hint="eastAsia" w:ascii="仿宋" w:hAnsi="仿宋" w:eastAsia="仿宋"/>
          <w:sz w:val="32"/>
          <w:szCs w:val="32"/>
          <w:lang w:eastAsia="zh-CN"/>
        </w:rPr>
        <w:t>专用材料费</w:t>
      </w:r>
      <w:r>
        <w:rPr>
          <w:rFonts w:hint="eastAsia" w:ascii="仿宋" w:hAnsi="仿宋" w:eastAsia="仿宋"/>
          <w:sz w:val="32"/>
          <w:szCs w:val="32"/>
        </w:rPr>
        <w:t>。</w:t>
      </w:r>
    </w:p>
    <w:p>
      <w:pPr>
        <w:spacing w:line="600" w:lineRule="exact"/>
        <w:ind w:firstLine="640"/>
        <w:outlineLvl w:val="1"/>
        <w:rPr>
          <w:rStyle w:val="28"/>
          <w:rFonts w:ascii="黑体" w:hAnsi="黑体" w:eastAsia="黑体"/>
          <w:b w:val="0"/>
        </w:rPr>
      </w:pPr>
      <w:bookmarkStart w:id="66" w:name="_Toc23663"/>
      <w:bookmarkStart w:id="67" w:name="_Toc15377215"/>
      <w:bookmarkStart w:id="68"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66"/>
      <w:bookmarkEnd w:id="67"/>
      <w:bookmarkEnd w:id="68"/>
    </w:p>
    <w:p>
      <w:pPr>
        <w:spacing w:line="600" w:lineRule="exact"/>
        <w:ind w:firstLine="640"/>
        <w:outlineLvl w:val="2"/>
        <w:rPr>
          <w:rFonts w:ascii="仿宋" w:hAnsi="仿宋" w:eastAsia="仿宋"/>
          <w:b/>
          <w:sz w:val="32"/>
          <w:szCs w:val="32"/>
        </w:rPr>
      </w:pPr>
      <w:bookmarkStart w:id="69" w:name="_Toc20706"/>
      <w:bookmarkStart w:id="70" w:name="_Toc15377216"/>
      <w:r>
        <w:rPr>
          <w:rFonts w:hint="eastAsia" w:ascii="仿宋" w:hAnsi="仿宋" w:eastAsia="仿宋"/>
          <w:b/>
          <w:sz w:val="32"/>
          <w:szCs w:val="32"/>
        </w:rPr>
        <w:t>（一）“三公”经费财政拨款支出决算总体情况说明</w:t>
      </w:r>
      <w:bookmarkEnd w:id="69"/>
      <w:bookmarkEnd w:id="7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22年“三公”经费财政拨款支出决算为0.16万元，完成预算21.05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p>
    <w:p>
      <w:pPr>
        <w:spacing w:line="600" w:lineRule="exact"/>
        <w:ind w:firstLine="640"/>
        <w:outlineLvl w:val="2"/>
        <w:rPr>
          <w:rFonts w:ascii="仿宋" w:hAnsi="仿宋" w:eastAsia="仿宋"/>
          <w:b/>
          <w:sz w:val="32"/>
          <w:szCs w:val="32"/>
        </w:rPr>
      </w:pPr>
      <w:bookmarkStart w:id="71" w:name="_Toc15377217"/>
      <w:bookmarkStart w:id="72" w:name="_Toc8688"/>
      <w:r>
        <w:rPr>
          <w:rFonts w:hint="eastAsia" w:ascii="仿宋" w:hAnsi="仿宋" w:eastAsia="仿宋"/>
          <w:b/>
          <w:sz w:val="32"/>
          <w:szCs w:val="32"/>
        </w:rPr>
        <w:t>（二）“三公”经费财政拨款支出决算具体情况说明</w:t>
      </w:r>
      <w:bookmarkEnd w:id="71"/>
      <w:bookmarkEnd w:id="7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22年“三公”经费财政拨款支出决算中，因公出国（境）费支出决算0.00万元，占0.00</w:t>
      </w:r>
      <w:r>
        <w:rPr>
          <w:rFonts w:ascii="仿宋" w:hAnsi="仿宋" w:eastAsia="仿宋"/>
          <w:sz w:val="32"/>
          <w:szCs w:val="32"/>
        </w:rPr>
        <w:t>%</w:t>
      </w:r>
      <w:r>
        <w:rPr>
          <w:rFonts w:hint="eastAsia" w:ascii="仿宋" w:hAnsi="仿宋" w:eastAsia="仿宋"/>
          <w:sz w:val="32"/>
          <w:szCs w:val="32"/>
        </w:rPr>
        <w:t>；公务用车购置及运行维护费支出决算0.00万元，占0.00</w:t>
      </w:r>
      <w:r>
        <w:rPr>
          <w:rFonts w:ascii="仿宋" w:hAnsi="仿宋" w:eastAsia="仿宋"/>
          <w:sz w:val="32"/>
          <w:szCs w:val="32"/>
        </w:rPr>
        <w:t>%</w:t>
      </w:r>
      <w:r>
        <w:rPr>
          <w:rFonts w:hint="eastAsia" w:ascii="仿宋" w:hAnsi="仿宋" w:eastAsia="仿宋"/>
          <w:sz w:val="32"/>
          <w:szCs w:val="32"/>
        </w:rPr>
        <w:t>；公务接待费支出决算0.16万元，占21.05</w:t>
      </w:r>
      <w:r>
        <w:rPr>
          <w:rFonts w:ascii="仿宋" w:hAnsi="仿宋" w:eastAsia="仿宋"/>
          <w:sz w:val="32"/>
          <w:szCs w:val="32"/>
        </w:rPr>
        <w:t>%</w:t>
      </w:r>
      <w:r>
        <w:rPr>
          <w:rFonts w:hint="eastAsia" w:ascii="仿宋" w:hAnsi="仿宋" w:eastAsia="仿宋"/>
          <w:sz w:val="32"/>
          <w:szCs w:val="32"/>
        </w:rPr>
        <w:t>。具体情况如下：</w:t>
      </w:r>
    </w:p>
    <w:p>
      <w:pPr>
        <w:pStyle w:val="2"/>
        <w:spacing w:before="93"/>
        <w:rPr>
          <w:rFonts w:eastAsia="仿宋"/>
        </w:rPr>
      </w:pPr>
      <w:r>
        <w:rPr>
          <w:rFonts w:hint="eastAsia" w:eastAsia="仿宋"/>
        </w:rPr>
        <w:drawing>
          <wp:inline distT="0" distB="0" distL="114300" distR="114300">
            <wp:extent cx="5256530" cy="2988310"/>
            <wp:effectExtent l="5080" t="4445" r="1143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因公出国（境）经费支出0.00</w:t>
      </w:r>
      <w:r>
        <w:rPr>
          <w:rFonts w:hint="eastAsia" w:ascii="仿宋_GB2312" w:eastAsia="仿宋_GB2312"/>
          <w:sz w:val="32"/>
          <w:szCs w:val="32"/>
        </w:rPr>
        <w:t>万元，</w:t>
      </w:r>
      <w:r>
        <w:rPr>
          <w:rStyle w:val="17"/>
          <w:rFonts w:hint="eastAsia" w:ascii="仿宋" w:hAnsi="仿宋" w:eastAsia="仿宋"/>
          <w:b w:val="0"/>
          <w:bCs/>
          <w:sz w:val="32"/>
          <w:szCs w:val="32"/>
        </w:rPr>
        <w:t>完成预算0.00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全年安排因公出国（境）团组0次，出国（境）0人。</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r>
        <w:rPr>
          <w:rFonts w:hint="eastAsia" w:ascii="仿宋_GB2312" w:eastAsia="仿宋_GB2312"/>
          <w:sz w:val="32"/>
          <w:szCs w:val="32"/>
        </w:rPr>
        <w:t>开支内容包括：无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公务用车购置及运行维护费支出0.00</w:t>
      </w:r>
      <w:r>
        <w:rPr>
          <w:rFonts w:hint="eastAsia" w:ascii="仿宋_GB2312" w:eastAsia="仿宋_GB2312"/>
          <w:sz w:val="32"/>
          <w:szCs w:val="32"/>
        </w:rPr>
        <w:t>万元,</w:t>
      </w:r>
      <w:r>
        <w:rPr>
          <w:rStyle w:val="17"/>
          <w:rFonts w:hint="eastAsia" w:ascii="仿宋" w:hAnsi="仿宋" w:eastAsia="仿宋"/>
          <w:b w:val="0"/>
          <w:bCs/>
          <w:sz w:val="32"/>
          <w:szCs w:val="32"/>
        </w:rPr>
        <w:t>完成预算0.00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减少0.00万元，增长</w:t>
      </w:r>
      <w:r>
        <w:rPr>
          <w:rFonts w:ascii="仿宋_GB2312" w:eastAsia="仿宋_GB2312"/>
          <w:sz w:val="32"/>
          <w:szCs w:val="32"/>
        </w:rPr>
        <w:t>/</w:t>
      </w:r>
      <w:r>
        <w:rPr>
          <w:rFonts w:hint="eastAsia" w:ascii="仿宋_GB2312" w:eastAsia="仿宋_GB2312"/>
          <w:sz w:val="32"/>
          <w:szCs w:val="32"/>
        </w:rPr>
        <w:t>下降0.00</w:t>
      </w:r>
      <w:r>
        <w:rPr>
          <w:rFonts w:ascii="仿宋_GB2312" w:eastAsia="仿宋_GB2312"/>
          <w:sz w:val="32"/>
          <w:szCs w:val="32"/>
        </w:rPr>
        <w:t>%</w:t>
      </w:r>
      <w:r>
        <w:rPr>
          <w:rFonts w:hint="eastAsia" w:ascii="仿宋_GB2312" w:eastAsia="仿宋_GB2312"/>
          <w:sz w:val="32"/>
          <w:szCs w:val="32"/>
        </w:rPr>
        <w:t>。主要原因是没有购置公务用车。</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公务用车购置支出0.00</w:t>
      </w:r>
      <w:r>
        <w:rPr>
          <w:rFonts w:hint="eastAsia" w:ascii="仿宋_GB2312" w:eastAsia="仿宋_GB2312"/>
          <w:sz w:val="32"/>
          <w:szCs w:val="32"/>
        </w:rPr>
        <w:t>万元。全年按规定更新购置公务用车0辆，其中：轿车0辆、金额0.00万元，越野车0辆、金额0.00万元，载客汽车0辆、金额0.00万元。截至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公务用车运行维护费支出0.00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公务接待费支出0.16</w:t>
      </w:r>
      <w:r>
        <w:rPr>
          <w:rFonts w:hint="eastAsia" w:ascii="仿宋_GB2312" w:eastAsia="仿宋_GB2312"/>
          <w:sz w:val="32"/>
          <w:szCs w:val="32"/>
        </w:rPr>
        <w:t>万元，</w:t>
      </w:r>
      <w:r>
        <w:rPr>
          <w:rStyle w:val="17"/>
          <w:rFonts w:hint="eastAsia" w:ascii="仿宋" w:hAnsi="仿宋" w:eastAsia="仿宋"/>
          <w:b w:val="0"/>
          <w:bCs/>
          <w:sz w:val="32"/>
          <w:szCs w:val="32"/>
        </w:rPr>
        <w:t>完成预算21.05</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国内公务接待支出0.16</w:t>
      </w:r>
      <w:r>
        <w:rPr>
          <w:rFonts w:hint="eastAsia" w:ascii="仿宋_GB2312" w:eastAsia="仿宋_GB2312"/>
          <w:sz w:val="32"/>
          <w:szCs w:val="32"/>
        </w:rPr>
        <w:t>万元，主要用于执行公务开支的用餐费等。国内公务接待</w:t>
      </w:r>
      <w:r>
        <w:rPr>
          <w:rFonts w:hint="eastAsia" w:ascii="仿宋_GB2312" w:eastAsia="仿宋_GB2312"/>
          <w:sz w:val="32"/>
          <w:szCs w:val="32"/>
          <w:lang w:val="en-US" w:eastAsia="zh-CN"/>
        </w:rPr>
        <w:t>8</w:t>
      </w:r>
      <w:r>
        <w:rPr>
          <w:rFonts w:hint="eastAsia" w:ascii="仿宋_GB2312" w:eastAsia="仿宋_GB2312"/>
          <w:sz w:val="32"/>
          <w:szCs w:val="32"/>
        </w:rPr>
        <w:t>批次，</w:t>
      </w:r>
      <w:r>
        <w:rPr>
          <w:rFonts w:hint="eastAsia" w:ascii="仿宋_GB2312" w:eastAsia="仿宋_GB2312"/>
          <w:sz w:val="32"/>
          <w:szCs w:val="32"/>
          <w:lang w:val="en-US" w:eastAsia="zh-CN"/>
        </w:rPr>
        <w:t>52</w:t>
      </w:r>
      <w:r>
        <w:rPr>
          <w:rFonts w:hint="eastAsia" w:ascii="仿宋_GB2312" w:eastAsia="仿宋_GB2312"/>
          <w:sz w:val="32"/>
          <w:szCs w:val="32"/>
        </w:rPr>
        <w:t>人次（不包括陪同人员），共计支出0.16万元，具体内容包括：</w:t>
      </w:r>
      <w:r>
        <w:rPr>
          <w:rFonts w:hint="eastAsia" w:ascii="仿宋_GB2312" w:eastAsia="仿宋_GB2312"/>
          <w:sz w:val="32"/>
          <w:szCs w:val="32"/>
          <w:lang w:val="en-US" w:eastAsia="zh-CN"/>
        </w:rPr>
        <w:t>基本医疗及</w:t>
      </w:r>
      <w:r>
        <w:rPr>
          <w:rFonts w:hint="eastAsia" w:ascii="仿宋_GB2312" w:eastAsia="仿宋_GB2312"/>
          <w:sz w:val="32"/>
          <w:szCs w:val="32"/>
        </w:rPr>
        <w:t>公共卫生服务</w:t>
      </w:r>
      <w:r>
        <w:rPr>
          <w:rFonts w:hint="eastAsia" w:ascii="仿宋_GB2312" w:eastAsia="仿宋_GB2312"/>
          <w:sz w:val="32"/>
          <w:szCs w:val="32"/>
          <w:lang w:val="en-US" w:eastAsia="zh-CN"/>
        </w:rPr>
        <w:t>相关工作</w:t>
      </w:r>
      <w:r>
        <w:rPr>
          <w:rFonts w:hint="eastAsia" w:ascii="仿宋_GB2312" w:eastAsia="仿宋_GB2312"/>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外事接待支出0.00</w:t>
      </w:r>
      <w:r>
        <w:rPr>
          <w:rFonts w:hint="eastAsia" w:ascii="仿宋_GB2312" w:eastAsia="仿宋_GB2312"/>
          <w:sz w:val="32"/>
          <w:szCs w:val="32"/>
        </w:rPr>
        <w:t>万元，主要用于接待</w:t>
      </w:r>
      <w:r>
        <w:rPr>
          <w:rFonts w:ascii="仿宋_GB2312" w:eastAsia="仿宋_GB2312"/>
          <w:sz w:val="32"/>
          <w:szCs w:val="32"/>
        </w:rPr>
        <w:t>无。</w:t>
      </w:r>
      <w:r>
        <w:rPr>
          <w:rFonts w:hint="eastAsia" w:ascii="仿宋_GB2312" w:eastAsia="仿宋_GB2312"/>
          <w:sz w:val="32"/>
          <w:szCs w:val="32"/>
        </w:rPr>
        <w:t>外事接待0批次，0人次（不包括陪同人员），共计支出0.00万元。</w:t>
      </w:r>
      <w:bookmarkStart w:id="73" w:name="_Toc15377218"/>
      <w:bookmarkStart w:id="74" w:name="_Toc15396610"/>
    </w:p>
    <w:p>
      <w:pPr>
        <w:spacing w:line="600" w:lineRule="exact"/>
        <w:ind w:firstLine="640"/>
        <w:outlineLvl w:val="1"/>
        <w:rPr>
          <w:rStyle w:val="28"/>
          <w:rFonts w:ascii="黑体" w:hAnsi="黑体" w:eastAsia="黑体"/>
        </w:rPr>
      </w:pPr>
      <w:bookmarkStart w:id="75" w:name="_Toc27972"/>
      <w:r>
        <w:rPr>
          <w:rFonts w:hint="eastAsia" w:ascii="黑体" w:eastAsia="黑体"/>
          <w:sz w:val="32"/>
          <w:szCs w:val="32"/>
        </w:rPr>
        <w:t>八、</w:t>
      </w:r>
      <w:r>
        <w:rPr>
          <w:rStyle w:val="28"/>
          <w:rFonts w:hint="eastAsia" w:ascii="黑体" w:hAnsi="黑体" w:eastAsia="黑体"/>
          <w:b w:val="0"/>
        </w:rPr>
        <w:t>政府性基金预算支出决算情况说明</w:t>
      </w:r>
      <w:bookmarkEnd w:id="73"/>
      <w:bookmarkEnd w:id="74"/>
      <w:bookmarkEnd w:id="7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22年政府性基金预算财政拨款支出0.00万元。</w:t>
      </w:r>
    </w:p>
    <w:p>
      <w:pPr>
        <w:numPr>
          <w:ilvl w:val="0"/>
          <w:numId w:val="3"/>
        </w:numPr>
        <w:spacing w:line="600" w:lineRule="exact"/>
        <w:ind w:firstLine="640"/>
        <w:outlineLvl w:val="1"/>
        <w:rPr>
          <w:rStyle w:val="28"/>
          <w:rFonts w:ascii="黑体" w:hAnsi="黑体" w:eastAsia="黑体"/>
          <w:b w:val="0"/>
        </w:rPr>
      </w:pPr>
      <w:bookmarkStart w:id="76" w:name="_Toc15396611"/>
      <w:bookmarkStart w:id="77" w:name="_Toc15377219"/>
      <w:bookmarkStart w:id="78" w:name="_Toc12994"/>
      <w:r>
        <w:rPr>
          <w:rStyle w:val="28"/>
          <w:rFonts w:hint="eastAsia" w:ascii="黑体" w:hAnsi="黑体" w:eastAsia="黑体"/>
          <w:b w:val="0"/>
        </w:rPr>
        <w:t>国有资本经营预算支出决算情况说明</w:t>
      </w:r>
      <w:bookmarkEnd w:id="76"/>
      <w:bookmarkEnd w:id="77"/>
      <w:bookmarkEnd w:id="7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22年国有资本经营预算财政拨款支出0.00万元。</w:t>
      </w:r>
    </w:p>
    <w:p>
      <w:pPr>
        <w:numPr>
          <w:ilvl w:val="0"/>
          <w:numId w:val="3"/>
        </w:numPr>
        <w:spacing w:line="600" w:lineRule="exact"/>
        <w:ind w:firstLine="640"/>
        <w:outlineLvl w:val="1"/>
        <w:rPr>
          <w:rStyle w:val="28"/>
          <w:rFonts w:ascii="黑体" w:hAnsi="黑体" w:eastAsia="黑体"/>
          <w:b w:val="0"/>
        </w:rPr>
      </w:pPr>
      <w:bookmarkStart w:id="79" w:name="_Toc15396612"/>
      <w:bookmarkStart w:id="80" w:name="_Toc15377221"/>
      <w:bookmarkStart w:id="81" w:name="_Toc772"/>
      <w:r>
        <w:rPr>
          <w:rStyle w:val="28"/>
          <w:rFonts w:hint="eastAsia" w:ascii="黑体" w:hAnsi="黑体" w:eastAsia="黑体"/>
          <w:b w:val="0"/>
        </w:rPr>
        <w:t>其他重要事项的情况说明</w:t>
      </w:r>
      <w:bookmarkEnd w:id="79"/>
      <w:bookmarkEnd w:id="80"/>
      <w:bookmarkEnd w:id="81"/>
    </w:p>
    <w:p>
      <w:pPr>
        <w:spacing w:line="600" w:lineRule="exact"/>
        <w:ind w:firstLine="643" w:firstLineChars="200"/>
        <w:outlineLvl w:val="2"/>
        <w:rPr>
          <w:rFonts w:ascii="仿宋" w:hAnsi="仿宋" w:eastAsia="仿宋"/>
          <w:sz w:val="32"/>
          <w:szCs w:val="32"/>
        </w:rPr>
      </w:pPr>
      <w:bookmarkStart w:id="82" w:name="_Toc15377222"/>
      <w:bookmarkStart w:id="83" w:name="_Toc10874"/>
      <w:r>
        <w:rPr>
          <w:rFonts w:hint="eastAsia" w:ascii="仿宋" w:hAnsi="仿宋" w:eastAsia="仿宋"/>
          <w:b/>
          <w:sz w:val="32"/>
          <w:szCs w:val="32"/>
        </w:rPr>
        <w:t>（一）机关运行经费支出情况</w:t>
      </w:r>
      <w:bookmarkEnd w:id="82"/>
      <w:bookmarkEnd w:id="83"/>
    </w:p>
    <w:p>
      <w:pPr>
        <w:spacing w:line="600" w:lineRule="exact"/>
        <w:ind w:firstLine="640" w:firstLineChars="200"/>
        <w:rPr>
          <w:rFonts w:hint="default" w:ascii="仿宋" w:hAnsi="仿宋" w:eastAsia="仿宋_GB2312"/>
          <w:b/>
          <w:sz w:val="32"/>
          <w:szCs w:val="32"/>
          <w:lang w:val="en-US" w:eastAsia="zh-CN"/>
        </w:rPr>
      </w:pPr>
      <w:bookmarkStart w:id="84" w:name="_Toc15377223"/>
      <w:bookmarkStart w:id="85" w:name="_Toc15379"/>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剑阁县羊岭镇卫生院</w:t>
      </w:r>
      <w:r>
        <w:rPr>
          <w:rFonts w:hint="eastAsia" w:ascii="仿宋_GB2312" w:eastAsia="仿宋_GB2312"/>
          <w:sz w:val="32"/>
          <w:szCs w:val="32"/>
        </w:rPr>
        <w:t>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84"/>
      <w:bookmarkEnd w:id="8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22年，政府采购支出总额0.00万元，其中：政府采购货物支出0.00万元、政府采购工程支出0.00万元、政府采购服务支出0.00万元。主要用于无。授予中小企业合同金额0.00万元，占政府采购支出总额的0.00</w:t>
      </w:r>
      <w:r>
        <w:rPr>
          <w:rFonts w:ascii="仿宋_GB2312" w:eastAsia="仿宋_GB2312"/>
          <w:sz w:val="32"/>
          <w:szCs w:val="32"/>
        </w:rPr>
        <w:t>%</w:t>
      </w:r>
      <w:r>
        <w:rPr>
          <w:rFonts w:hint="eastAsia" w:ascii="仿宋_GB2312" w:eastAsia="仿宋_GB2312"/>
          <w:sz w:val="32"/>
          <w:szCs w:val="32"/>
        </w:rPr>
        <w:t>，其中：授予小微企业合同金额0.00万元，占政府采购支出总额的0.00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6" w:name="_Toc15377224"/>
      <w:bookmarkStart w:id="87" w:name="_Toc15688"/>
      <w:r>
        <w:rPr>
          <w:rFonts w:hint="eastAsia" w:ascii="仿宋" w:hAnsi="仿宋" w:eastAsia="仿宋"/>
          <w:b/>
          <w:sz w:val="32"/>
          <w:szCs w:val="32"/>
        </w:rPr>
        <w:t>（三）国有资产占有使用情况</w:t>
      </w:r>
      <w:bookmarkEnd w:id="86"/>
      <w:bookmarkEnd w:id="87"/>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日，共有车辆0辆，其中：主要领导干部用车0辆、机要通信用车0辆、应急保障用车0辆、其他用车0辆，其他用车主要是无。单价</w:t>
      </w:r>
      <w:r>
        <w:rPr>
          <w:rFonts w:ascii="仿宋_GB2312" w:eastAsia="仿宋_GB2312"/>
          <w:sz w:val="32"/>
          <w:szCs w:val="32"/>
        </w:rPr>
        <w:t>100</w:t>
      </w:r>
      <w:r>
        <w:rPr>
          <w:rFonts w:hint="eastAsia" w:ascii="仿宋_GB2312" w:eastAsia="仿宋_GB2312"/>
          <w:sz w:val="32"/>
          <w:szCs w:val="32"/>
        </w:rPr>
        <w:t>万元以上专用设备0台（套）。</w:t>
      </w:r>
    </w:p>
    <w:p>
      <w:pPr>
        <w:pStyle w:val="2"/>
        <w:spacing w:before="93"/>
        <w:ind w:firstLine="600" w:firstLineChars="200"/>
        <w:rPr>
          <w:highlight w:val="yellow"/>
        </w:rPr>
      </w:pPr>
    </w:p>
    <w:p>
      <w:pPr>
        <w:numPr>
          <w:ilvl w:val="0"/>
          <w:numId w:val="4"/>
        </w:numPr>
        <w:spacing w:line="600" w:lineRule="exact"/>
        <w:ind w:firstLine="660" w:firstLineChars="150"/>
        <w:jc w:val="center"/>
        <w:outlineLvl w:val="0"/>
        <w:rPr>
          <w:rStyle w:val="27"/>
          <w:rFonts w:ascii="黑体" w:hAnsi="黑体" w:eastAsia="黑体"/>
          <w:b w:val="0"/>
        </w:rPr>
      </w:pPr>
      <w:bookmarkStart w:id="88" w:name="_Toc15377225"/>
      <w:bookmarkStart w:id="89" w:name="_Toc32001"/>
      <w:bookmarkStart w:id="90" w:name="_Toc15396613"/>
      <w:r>
        <w:rPr>
          <w:rFonts w:hint="eastAsia" w:ascii="黑体" w:hAnsi="黑体" w:eastAsia="黑体"/>
          <w:sz w:val="44"/>
          <w:szCs w:val="44"/>
        </w:rPr>
        <w:t>名</w:t>
      </w:r>
      <w:r>
        <w:rPr>
          <w:rStyle w:val="27"/>
          <w:rFonts w:hint="eastAsia" w:ascii="黑体" w:hAnsi="黑体" w:eastAsia="黑体"/>
          <w:b w:val="0"/>
        </w:rPr>
        <w:t>词解释</w:t>
      </w:r>
      <w:bookmarkEnd w:id="88"/>
      <w:bookmarkEnd w:id="89"/>
      <w:bookmarkEnd w:id="90"/>
    </w:p>
    <w:p>
      <w:pPr>
        <w:spacing w:line="600" w:lineRule="exact"/>
        <w:jc w:val="left"/>
        <w:rPr>
          <w:rFonts w:ascii="宋体"/>
          <w:b/>
          <w:sz w:val="44"/>
          <w:szCs w:val="44"/>
        </w:rPr>
      </w:pPr>
    </w:p>
    <w:p>
      <w:pPr>
        <w:numPr>
          <w:ilvl w:val="0"/>
          <w:numId w:val="5"/>
        </w:numPr>
        <w:spacing w:line="600" w:lineRule="exact"/>
        <w:ind w:left="0" w:leftChars="0" w:firstLine="0" w:firstLineChars="0"/>
        <w:jc w:val="left"/>
        <w:outlineLvl w:val="0"/>
        <w:rPr>
          <w:rFonts w:ascii="宋体" w:hAnsi="宋体" w:eastAsia="宋体" w:cs="宋体"/>
          <w:sz w:val="24"/>
          <w:szCs w:val="24"/>
        </w:rPr>
      </w:pPr>
      <w:bookmarkStart w:id="91" w:name="_Toc29858"/>
      <w:bookmarkStart w:id="92" w:name="_Toc15396614"/>
      <w:bookmarkStart w:id="93" w:name="_Toc15377226"/>
      <w:r>
        <w:rPr>
          <w:rFonts w:hint="eastAsia" w:ascii="仿宋" w:hAnsi="仿宋" w:eastAsia="仿宋" w:cs="仿宋"/>
          <w:sz w:val="32"/>
          <w:szCs w:val="32"/>
        </w:rPr>
        <w:t>财政拨款收入：指单位从同级财政部门取得的财政预算资金。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事业收入：指事业单位开展专业业务活动及辅助活动取得的收入。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其他收入：指单位取得的除上述收入以外的各项收入。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社会保障和就业（类）行政事业单位养老支出（款）机关事业单位基本养老保险缴费支出（项）: 指部门实施养老保险制度由单位缴纳的养老保险费的支出。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卫生健康支出（类）基层医疗卫生机构（款）乡镇卫生院（项）:反映用于乡镇卫生院的支出。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卫生健康支出（类）基层医疗卫生机构（款）其他基层医疗卫生机构支出（项）:反映除上述项目以外的其他用于基层医疗卫生机构的支出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卫生健康支出（类）公共卫生（款）基本公共卫生服务（项）:反映基本公共卫生服务支出。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卫生健康支出（类）行政事业单位医疗（款）事业单位医疗（项）:指事业单位用于缴纳单位基本医疗保险支出。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卫生健康支出（类）其他卫生健康支出（款）其他卫生健康支出（项）:反映除上述项目以外其他用于卫生健康方面的支出。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住房保障支出（类）住房改革支出（款）住房公积金（项）:反映行政事业单位按人力资源和社会保障部、财政部规定的基本工资和津贴补贴以及规定比例为职工缴纳的住房公积金。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基本支出：指为保障机构正常运转、完成日常工作任务而发生的人员支出和公用支出。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880" w:firstLineChars="20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bookmarkEnd w:id="91"/>
    <w:bookmarkEnd w:id="92"/>
    <w:p>
      <w:pPr>
        <w:pStyle w:val="2"/>
        <w:spacing w:before="93"/>
        <w:rPr>
          <w:rFonts w:hAnsi="Calibri" w:cs="仿宋"/>
          <w:sz w:val="32"/>
          <w:szCs w:val="32"/>
        </w:rPr>
      </w:pPr>
      <w:bookmarkStart w:id="94" w:name="_Toc15396618"/>
    </w:p>
    <w:p>
      <w:pPr>
        <w:spacing w:line="600" w:lineRule="exact"/>
        <w:jc w:val="center"/>
        <w:outlineLvl w:val="0"/>
        <w:rPr>
          <w:rFonts w:ascii="仿宋" w:hAnsi="仿宋" w:eastAsia="仿宋"/>
        </w:rPr>
      </w:pPr>
      <w:bookmarkStart w:id="95" w:name="_Toc12298"/>
      <w:r>
        <w:rPr>
          <w:rFonts w:hint="eastAsia" w:ascii="黑体" w:hAnsi="黑体" w:eastAsia="黑体"/>
          <w:sz w:val="44"/>
          <w:szCs w:val="44"/>
        </w:rPr>
        <w:t>第</w:t>
      </w:r>
      <w:r>
        <w:rPr>
          <w:rFonts w:hint="eastAsia" w:ascii="黑体" w:hAnsi="黑体" w:eastAsia="黑体"/>
          <w:sz w:val="44"/>
          <w:szCs w:val="44"/>
          <w:lang w:eastAsia="zh-CN"/>
        </w:rPr>
        <w:t>四</w:t>
      </w:r>
      <w:r>
        <w:rPr>
          <w:rStyle w:val="27"/>
          <w:rFonts w:hint="eastAsia" w:ascii="黑体" w:hAnsi="黑体" w:eastAsia="黑体"/>
          <w:b w:val="0"/>
        </w:rPr>
        <w:t>部分 附表</w:t>
      </w:r>
      <w:bookmarkEnd w:id="93"/>
      <w:bookmarkEnd w:id="94"/>
      <w:bookmarkEnd w:id="95"/>
      <w:bookmarkStart w:id="96" w:name="_Toc15396619"/>
    </w:p>
    <w:p>
      <w:pPr>
        <w:pStyle w:val="4"/>
        <w:rPr>
          <w:rFonts w:ascii="仿宋" w:hAnsi="仿宋" w:eastAsia="仿宋"/>
        </w:rPr>
      </w:pPr>
      <w:bookmarkStart w:id="97" w:name="_Toc19442"/>
      <w:r>
        <w:rPr>
          <w:rFonts w:hint="eastAsia" w:ascii="仿宋" w:hAnsi="仿宋" w:eastAsia="仿宋"/>
          <w:b w:val="0"/>
        </w:rPr>
        <w:t>一、收</w:t>
      </w:r>
      <w:r>
        <w:rPr>
          <w:rStyle w:val="28"/>
          <w:rFonts w:hint="eastAsia" w:ascii="仿宋" w:hAnsi="仿宋" w:eastAsia="仿宋"/>
          <w:b w:val="0"/>
          <w:bCs w:val="0"/>
        </w:rPr>
        <w:t>入支出决算总表</w:t>
      </w:r>
      <w:bookmarkEnd w:id="96"/>
      <w:bookmarkEnd w:id="97"/>
    </w:p>
    <w:p>
      <w:pPr>
        <w:pStyle w:val="4"/>
        <w:rPr>
          <w:rFonts w:ascii="仿宋" w:hAnsi="仿宋" w:eastAsia="仿宋"/>
        </w:rPr>
      </w:pPr>
      <w:bookmarkStart w:id="98" w:name="_Toc2181"/>
      <w:bookmarkStart w:id="99" w:name="_Toc15396620"/>
      <w:r>
        <w:rPr>
          <w:rFonts w:hint="eastAsia" w:ascii="仿宋" w:hAnsi="仿宋" w:eastAsia="仿宋"/>
          <w:b w:val="0"/>
        </w:rPr>
        <w:t>二、收</w:t>
      </w:r>
      <w:r>
        <w:rPr>
          <w:rStyle w:val="28"/>
          <w:rFonts w:hint="eastAsia" w:ascii="仿宋" w:hAnsi="仿宋" w:eastAsia="仿宋"/>
          <w:b w:val="0"/>
          <w:bCs w:val="0"/>
        </w:rPr>
        <w:t>入决算表</w:t>
      </w:r>
      <w:bookmarkEnd w:id="98"/>
      <w:bookmarkEnd w:id="99"/>
    </w:p>
    <w:p>
      <w:pPr>
        <w:pStyle w:val="4"/>
        <w:rPr>
          <w:rFonts w:ascii="仿宋" w:hAnsi="仿宋" w:eastAsia="仿宋"/>
        </w:rPr>
      </w:pPr>
      <w:bookmarkStart w:id="100" w:name="_Toc1562"/>
      <w:bookmarkStart w:id="101"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100"/>
      <w:bookmarkEnd w:id="101"/>
    </w:p>
    <w:p>
      <w:pPr>
        <w:pStyle w:val="4"/>
        <w:rPr>
          <w:rFonts w:ascii="仿宋" w:hAnsi="仿宋" w:eastAsia="仿宋"/>
          <w:b w:val="0"/>
        </w:rPr>
      </w:pPr>
      <w:bookmarkStart w:id="102" w:name="_Toc1760"/>
      <w:bookmarkStart w:id="103"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02"/>
      <w:bookmarkEnd w:id="103"/>
    </w:p>
    <w:p>
      <w:pPr>
        <w:pStyle w:val="4"/>
        <w:rPr>
          <w:rStyle w:val="28"/>
          <w:rFonts w:ascii="仿宋" w:hAnsi="仿宋" w:eastAsia="仿宋"/>
          <w:b w:val="0"/>
          <w:bCs w:val="0"/>
        </w:rPr>
      </w:pPr>
      <w:bookmarkStart w:id="104" w:name="_Toc7598"/>
      <w:bookmarkStart w:id="105"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04"/>
      <w:bookmarkEnd w:id="105"/>
      <w:bookmarkStart w:id="106" w:name="_Toc15396624"/>
    </w:p>
    <w:p>
      <w:pPr>
        <w:pStyle w:val="4"/>
        <w:rPr>
          <w:rFonts w:ascii="仿宋" w:hAnsi="仿宋" w:eastAsia="仿宋"/>
        </w:rPr>
      </w:pPr>
      <w:bookmarkStart w:id="107" w:name="_Toc15573"/>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106"/>
      <w:bookmarkEnd w:id="107"/>
    </w:p>
    <w:p>
      <w:pPr>
        <w:pStyle w:val="4"/>
        <w:rPr>
          <w:rFonts w:ascii="仿宋" w:hAnsi="仿宋" w:eastAsia="仿宋"/>
        </w:rPr>
      </w:pPr>
      <w:bookmarkStart w:id="108" w:name="_Toc15396625"/>
      <w:bookmarkStart w:id="109" w:name="_Toc26584"/>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108"/>
      <w:bookmarkEnd w:id="109"/>
    </w:p>
    <w:p>
      <w:pPr>
        <w:pStyle w:val="4"/>
        <w:rPr>
          <w:rFonts w:ascii="仿宋" w:hAnsi="仿宋" w:eastAsia="仿宋"/>
        </w:rPr>
      </w:pPr>
      <w:bookmarkStart w:id="110" w:name="_Toc29658"/>
      <w:bookmarkStart w:id="111"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110"/>
      <w:bookmarkEnd w:id="111"/>
    </w:p>
    <w:p>
      <w:pPr>
        <w:pStyle w:val="4"/>
        <w:rPr>
          <w:rFonts w:ascii="仿宋" w:hAnsi="仿宋" w:eastAsia="仿宋"/>
        </w:rPr>
      </w:pPr>
      <w:bookmarkStart w:id="112" w:name="_Toc30049"/>
      <w:bookmarkStart w:id="113"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112"/>
      <w:bookmarkEnd w:id="113"/>
    </w:p>
    <w:p>
      <w:pPr>
        <w:pStyle w:val="4"/>
        <w:rPr>
          <w:rFonts w:ascii="仿宋" w:hAnsi="仿宋" w:eastAsia="仿宋"/>
        </w:rPr>
      </w:pPr>
      <w:bookmarkStart w:id="114" w:name="_Toc15396628"/>
      <w:bookmarkStart w:id="115" w:name="_Toc23059"/>
      <w:r>
        <w:rPr>
          <w:rStyle w:val="28"/>
          <w:rFonts w:hint="eastAsia" w:ascii="仿宋" w:hAnsi="仿宋" w:eastAsia="仿宋"/>
          <w:b w:val="0"/>
          <w:bCs w:val="0"/>
        </w:rPr>
        <w:t>十、</w:t>
      </w:r>
      <w:bookmarkEnd w:id="114"/>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115"/>
    </w:p>
    <w:p>
      <w:pPr>
        <w:pStyle w:val="4"/>
        <w:rPr>
          <w:rFonts w:ascii="仿宋" w:hAnsi="仿宋" w:eastAsia="仿宋"/>
        </w:rPr>
      </w:pPr>
      <w:bookmarkStart w:id="116" w:name="_Toc15396629"/>
      <w:bookmarkStart w:id="117" w:name="_Toc8794"/>
      <w:r>
        <w:rPr>
          <w:rStyle w:val="28"/>
          <w:rFonts w:hint="eastAsia" w:ascii="仿宋" w:hAnsi="仿宋" w:eastAsia="仿宋"/>
          <w:b w:val="0"/>
          <w:bCs w:val="0"/>
        </w:rPr>
        <w:t>十一、</w:t>
      </w:r>
      <w:bookmarkEnd w:id="116"/>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17"/>
    </w:p>
    <w:p>
      <w:pPr>
        <w:pStyle w:val="4"/>
        <w:rPr>
          <w:rFonts w:ascii="仿宋" w:hAnsi="仿宋" w:eastAsia="仿宋"/>
        </w:rPr>
      </w:pPr>
      <w:bookmarkStart w:id="118" w:name="_Toc15396630"/>
      <w:bookmarkStart w:id="119" w:name="_Toc4064"/>
      <w:r>
        <w:rPr>
          <w:rStyle w:val="28"/>
          <w:rFonts w:hint="eastAsia" w:ascii="仿宋" w:hAnsi="仿宋" w:eastAsia="仿宋"/>
          <w:b w:val="0"/>
          <w:bCs w:val="0"/>
        </w:rPr>
        <w:t>十二、</w:t>
      </w:r>
      <w:bookmarkEnd w:id="118"/>
      <w:r>
        <w:rPr>
          <w:rStyle w:val="28"/>
          <w:rFonts w:hint="eastAsia" w:ascii="仿宋" w:hAnsi="仿宋" w:eastAsia="仿宋"/>
          <w:b w:val="0"/>
          <w:bCs w:val="0"/>
        </w:rPr>
        <w:t>国有资本经营预算财政拨款支出决算表</w:t>
      </w:r>
      <w:bookmarkEnd w:id="119"/>
    </w:p>
    <w:p>
      <w:pPr>
        <w:pStyle w:val="4"/>
        <w:rPr>
          <w:rFonts w:eastAsia="仿宋"/>
        </w:rPr>
      </w:pPr>
      <w:bookmarkStart w:id="120" w:name="_Toc15396631"/>
      <w:bookmarkStart w:id="121" w:name="_Toc14311"/>
      <w:r>
        <w:rPr>
          <w:rStyle w:val="28"/>
          <w:rFonts w:hint="eastAsia" w:ascii="仿宋" w:hAnsi="仿宋" w:eastAsia="仿宋"/>
          <w:b w:val="0"/>
          <w:bCs w:val="0"/>
        </w:rPr>
        <w:t>十三、</w:t>
      </w:r>
      <w:bookmarkEnd w:id="120"/>
      <w:r>
        <w:rPr>
          <w:rStyle w:val="28"/>
          <w:rFonts w:hint="eastAsia" w:ascii="仿宋" w:hAnsi="仿宋" w:eastAsia="仿宋"/>
          <w:b w:val="0"/>
          <w:bCs w:val="0"/>
        </w:rPr>
        <w:t>财政拨款“三公”经费支出决算表</w:t>
      </w:r>
      <w:bookmarkEnd w:id="12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4</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3FA7FBB"/>
    <w:multiLevelType w:val="multilevel"/>
    <w:tmpl w:val="13FA7FBB"/>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1ZjZhOThhOGZiYzQwNWYwZTFhMmI3MTU3Nzg2NjEifQ=="/>
  </w:docVars>
  <w:rsids>
    <w:rsidRoot w:val="00F1361C"/>
    <w:rsid w:val="000222C6"/>
    <w:rsid w:val="0002549F"/>
    <w:rsid w:val="000409D9"/>
    <w:rsid w:val="000468DB"/>
    <w:rsid w:val="000508D9"/>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45AB"/>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E46B5"/>
    <w:rsid w:val="002F1818"/>
    <w:rsid w:val="002F567B"/>
    <w:rsid w:val="003216A9"/>
    <w:rsid w:val="00335A74"/>
    <w:rsid w:val="0035653B"/>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019D"/>
    <w:rsid w:val="004223DE"/>
    <w:rsid w:val="00434489"/>
    <w:rsid w:val="00437085"/>
    <w:rsid w:val="00443880"/>
    <w:rsid w:val="004464F4"/>
    <w:rsid w:val="00471401"/>
    <w:rsid w:val="00473F31"/>
    <w:rsid w:val="0048263A"/>
    <w:rsid w:val="00487E5D"/>
    <w:rsid w:val="004A711F"/>
    <w:rsid w:val="004B199D"/>
    <w:rsid w:val="004B4690"/>
    <w:rsid w:val="004C691F"/>
    <w:rsid w:val="004D7BF4"/>
    <w:rsid w:val="004D7CAA"/>
    <w:rsid w:val="004E0A2D"/>
    <w:rsid w:val="004E206B"/>
    <w:rsid w:val="004E6DF7"/>
    <w:rsid w:val="004F0FBD"/>
    <w:rsid w:val="00505A47"/>
    <w:rsid w:val="00512FDA"/>
    <w:rsid w:val="00520DA0"/>
    <w:rsid w:val="00532B74"/>
    <w:rsid w:val="005664BB"/>
    <w:rsid w:val="00566FFA"/>
    <w:rsid w:val="0057481D"/>
    <w:rsid w:val="0058486E"/>
    <w:rsid w:val="00585B33"/>
    <w:rsid w:val="00587AA4"/>
    <w:rsid w:val="0059014D"/>
    <w:rsid w:val="005A7208"/>
    <w:rsid w:val="005B5C64"/>
    <w:rsid w:val="005C5337"/>
    <w:rsid w:val="005C6BD0"/>
    <w:rsid w:val="005D1C8B"/>
    <w:rsid w:val="005D468D"/>
    <w:rsid w:val="005D5CED"/>
    <w:rsid w:val="005F1A4C"/>
    <w:rsid w:val="00605688"/>
    <w:rsid w:val="006070AF"/>
    <w:rsid w:val="00607E6C"/>
    <w:rsid w:val="006101B1"/>
    <w:rsid w:val="006124BF"/>
    <w:rsid w:val="00614E44"/>
    <w:rsid w:val="0062270A"/>
    <w:rsid w:val="00622830"/>
    <w:rsid w:val="00623DA0"/>
    <w:rsid w:val="00630AEF"/>
    <w:rsid w:val="00630E31"/>
    <w:rsid w:val="006325F8"/>
    <w:rsid w:val="00633463"/>
    <w:rsid w:val="00634C9A"/>
    <w:rsid w:val="006440E4"/>
    <w:rsid w:val="0066343B"/>
    <w:rsid w:val="00664777"/>
    <w:rsid w:val="00667F26"/>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772D8"/>
    <w:rsid w:val="0098660A"/>
    <w:rsid w:val="009931C3"/>
    <w:rsid w:val="009B2C43"/>
    <w:rsid w:val="009B4EAE"/>
    <w:rsid w:val="009B7573"/>
    <w:rsid w:val="009C22F4"/>
    <w:rsid w:val="009C2A4B"/>
    <w:rsid w:val="009C2E98"/>
    <w:rsid w:val="009D3447"/>
    <w:rsid w:val="009D4711"/>
    <w:rsid w:val="009E183B"/>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AD8"/>
    <w:rsid w:val="00B77EA6"/>
    <w:rsid w:val="00B81598"/>
    <w:rsid w:val="00B841F1"/>
    <w:rsid w:val="00B873A9"/>
    <w:rsid w:val="00B944D6"/>
    <w:rsid w:val="00BB4DF0"/>
    <w:rsid w:val="00BC289F"/>
    <w:rsid w:val="00BC2D50"/>
    <w:rsid w:val="00BC5361"/>
    <w:rsid w:val="00BC5460"/>
    <w:rsid w:val="00BC6B50"/>
    <w:rsid w:val="00BD0E25"/>
    <w:rsid w:val="00BE2DE0"/>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A3956"/>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1273F"/>
    <w:rsid w:val="00E331A1"/>
    <w:rsid w:val="00E33202"/>
    <w:rsid w:val="00E336A9"/>
    <w:rsid w:val="00E472B1"/>
    <w:rsid w:val="00E50624"/>
    <w:rsid w:val="00E568DF"/>
    <w:rsid w:val="00E57E54"/>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28F7"/>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0FF735E"/>
    <w:rsid w:val="03EA679B"/>
    <w:rsid w:val="043B2EAD"/>
    <w:rsid w:val="04B76BA3"/>
    <w:rsid w:val="053A62B5"/>
    <w:rsid w:val="08244677"/>
    <w:rsid w:val="0A2032A3"/>
    <w:rsid w:val="0B8A37D8"/>
    <w:rsid w:val="0BAF1CC5"/>
    <w:rsid w:val="0BE9375A"/>
    <w:rsid w:val="0CC46135"/>
    <w:rsid w:val="0D65197F"/>
    <w:rsid w:val="10C055FF"/>
    <w:rsid w:val="118107EC"/>
    <w:rsid w:val="11BC387F"/>
    <w:rsid w:val="11DD6519"/>
    <w:rsid w:val="12582E7C"/>
    <w:rsid w:val="138A175B"/>
    <w:rsid w:val="151F3448"/>
    <w:rsid w:val="16353A21"/>
    <w:rsid w:val="16BB723D"/>
    <w:rsid w:val="16C17241"/>
    <w:rsid w:val="18015F3F"/>
    <w:rsid w:val="19BA536A"/>
    <w:rsid w:val="1A861768"/>
    <w:rsid w:val="1BD55778"/>
    <w:rsid w:val="1BE8440E"/>
    <w:rsid w:val="1C6C1521"/>
    <w:rsid w:val="1C964CCC"/>
    <w:rsid w:val="1D155CEE"/>
    <w:rsid w:val="1DB96CC0"/>
    <w:rsid w:val="1DF736CC"/>
    <w:rsid w:val="1E0E0C42"/>
    <w:rsid w:val="1E7E0D4D"/>
    <w:rsid w:val="1E8C5F73"/>
    <w:rsid w:val="1F081151"/>
    <w:rsid w:val="1F2A5369"/>
    <w:rsid w:val="20776EAE"/>
    <w:rsid w:val="20F57F95"/>
    <w:rsid w:val="23E01C41"/>
    <w:rsid w:val="240371BF"/>
    <w:rsid w:val="25711CC6"/>
    <w:rsid w:val="25C741E6"/>
    <w:rsid w:val="25FF7D86"/>
    <w:rsid w:val="274A389D"/>
    <w:rsid w:val="27842671"/>
    <w:rsid w:val="27C070A1"/>
    <w:rsid w:val="27F97443"/>
    <w:rsid w:val="285B60F9"/>
    <w:rsid w:val="28F0746D"/>
    <w:rsid w:val="29FD04D3"/>
    <w:rsid w:val="2ABE7A3E"/>
    <w:rsid w:val="2C6505AC"/>
    <w:rsid w:val="2CA234A8"/>
    <w:rsid w:val="2CC22D17"/>
    <w:rsid w:val="2EFA178C"/>
    <w:rsid w:val="2F713AA3"/>
    <w:rsid w:val="30B46D73"/>
    <w:rsid w:val="315F792B"/>
    <w:rsid w:val="319F7F4E"/>
    <w:rsid w:val="326362A8"/>
    <w:rsid w:val="32FA00C6"/>
    <w:rsid w:val="33CD3A3C"/>
    <w:rsid w:val="33E31EB4"/>
    <w:rsid w:val="35182E39"/>
    <w:rsid w:val="36C61791"/>
    <w:rsid w:val="371D1E1A"/>
    <w:rsid w:val="37E1553E"/>
    <w:rsid w:val="383D272C"/>
    <w:rsid w:val="38BB7B3D"/>
    <w:rsid w:val="39AE70AB"/>
    <w:rsid w:val="3A0C3E3D"/>
    <w:rsid w:val="3A2E5B86"/>
    <w:rsid w:val="3AD3060E"/>
    <w:rsid w:val="3B752DF9"/>
    <w:rsid w:val="3C0C0783"/>
    <w:rsid w:val="3F233A8F"/>
    <w:rsid w:val="3F9F3A96"/>
    <w:rsid w:val="409640E4"/>
    <w:rsid w:val="41596145"/>
    <w:rsid w:val="4214206C"/>
    <w:rsid w:val="435042A4"/>
    <w:rsid w:val="43CA157C"/>
    <w:rsid w:val="440E4848"/>
    <w:rsid w:val="455431C7"/>
    <w:rsid w:val="467B7012"/>
    <w:rsid w:val="473C453F"/>
    <w:rsid w:val="477809B0"/>
    <w:rsid w:val="48BF60AB"/>
    <w:rsid w:val="493C27E9"/>
    <w:rsid w:val="496F39ED"/>
    <w:rsid w:val="49FF41D3"/>
    <w:rsid w:val="4B410375"/>
    <w:rsid w:val="4BE068DB"/>
    <w:rsid w:val="4BF6002B"/>
    <w:rsid w:val="4C72343B"/>
    <w:rsid w:val="4CC4300C"/>
    <w:rsid w:val="4D3F6B37"/>
    <w:rsid w:val="4D9C192D"/>
    <w:rsid w:val="4DA31B2B"/>
    <w:rsid w:val="4ECE2238"/>
    <w:rsid w:val="4FCA7AFF"/>
    <w:rsid w:val="512E091C"/>
    <w:rsid w:val="51665B32"/>
    <w:rsid w:val="51DB4B86"/>
    <w:rsid w:val="5256362F"/>
    <w:rsid w:val="526606C2"/>
    <w:rsid w:val="552A00CC"/>
    <w:rsid w:val="55333C3E"/>
    <w:rsid w:val="55CE26CC"/>
    <w:rsid w:val="56961319"/>
    <w:rsid w:val="5748233C"/>
    <w:rsid w:val="574D3BFE"/>
    <w:rsid w:val="589F3695"/>
    <w:rsid w:val="5A64198B"/>
    <w:rsid w:val="5DF11787"/>
    <w:rsid w:val="5EBF3633"/>
    <w:rsid w:val="5F1D00DA"/>
    <w:rsid w:val="6058051D"/>
    <w:rsid w:val="60902CEE"/>
    <w:rsid w:val="609F04DA"/>
    <w:rsid w:val="61484719"/>
    <w:rsid w:val="61C53263"/>
    <w:rsid w:val="625078AB"/>
    <w:rsid w:val="63320160"/>
    <w:rsid w:val="6409356B"/>
    <w:rsid w:val="64144421"/>
    <w:rsid w:val="646918A3"/>
    <w:rsid w:val="64A565FB"/>
    <w:rsid w:val="64CA39A1"/>
    <w:rsid w:val="651507B3"/>
    <w:rsid w:val="66221928"/>
    <w:rsid w:val="67E6633A"/>
    <w:rsid w:val="69630ADE"/>
    <w:rsid w:val="6A5A0BF1"/>
    <w:rsid w:val="6C4A05C8"/>
    <w:rsid w:val="6D3B1A89"/>
    <w:rsid w:val="6F975F07"/>
    <w:rsid w:val="71BF4EC2"/>
    <w:rsid w:val="72734D90"/>
    <w:rsid w:val="72FF168C"/>
    <w:rsid w:val="735A23F9"/>
    <w:rsid w:val="7412278C"/>
    <w:rsid w:val="78A147E4"/>
    <w:rsid w:val="79E7B28D"/>
    <w:rsid w:val="7AD26045"/>
    <w:rsid w:val="7AF745EE"/>
    <w:rsid w:val="7D130C31"/>
    <w:rsid w:val="7EC9775F"/>
    <w:rsid w:val="7EE04E09"/>
    <w:rsid w:val="7F8E08FF"/>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w:basedOn w:val="2"/>
    <w:qFormat/>
    <w:uiPriority w:val="0"/>
    <w:pPr>
      <w:ind w:firstLine="420" w:firstLineChars="100"/>
    </w:pPr>
  </w:style>
  <w:style w:type="paragraph" w:styleId="14">
    <w:name w:val="Body Text First Indent 2"/>
    <w:basedOn w:val="6"/>
    <w:next w:val="13"/>
    <w:qFormat/>
    <w:uiPriority w:val="0"/>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收入占比</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c:v>
                </c:pt>
                <c:pt idx="1">
                  <c:v>事业收入</c:v>
                </c:pt>
                <c:pt idx="2">
                  <c:v>其他收入</c:v>
                </c:pt>
              </c:strCache>
            </c:strRef>
          </c:cat>
          <c:val>
            <c:numRef>
              <c:f>Sheet1!$B$2:$B$4</c:f>
              <c:numCache>
                <c:formatCode>General</c:formatCode>
                <c:ptCount val="3"/>
                <c:pt idx="0">
                  <c:v>53.67</c:v>
                </c:pt>
                <c:pt idx="1">
                  <c:v>43.74</c:v>
                </c:pt>
                <c:pt idx="2">
                  <c:v>2.58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支出占比</c:v>
                </c:pt>
              </c:strCache>
            </c:strRef>
          </c:tx>
          <c:spPr>
            <a:ln>
              <a:noFill/>
            </a:ln>
          </c:spPr>
          <c:explosion val="0"/>
          <c:dPt>
            <c:idx val="0"/>
            <c:bubble3D val="0"/>
            <c:spPr>
              <a:solidFill>
                <a:schemeClr val="accent1"/>
              </a:solidFill>
              <a:ln>
                <a:no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基本支出</c:v>
                </c:pt>
              </c:strCache>
            </c:strRef>
          </c:cat>
          <c:val>
            <c:numRef>
              <c:f>Sheet1!$B$2</c:f>
              <c:numCache>
                <c:formatCode>General</c:formatCode>
                <c:ptCount val="1"/>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财政拨款支出占比</c:v>
                </c:pt>
              </c:strCache>
            </c:strRef>
          </c:tx>
          <c:spPr/>
          <c:explosion val="0"/>
          <c:dPt>
            <c:idx val="0"/>
            <c:bubble3D val="0"/>
            <c:spPr>
              <a:solidFill>
                <a:schemeClr val="accent1"/>
              </a:solidFill>
              <a:ln>
                <a:solidFill>
                  <a:schemeClr val="bg1"/>
                </a:solidFill>
              </a:ln>
              <a:effectLst/>
            </c:spPr>
          </c:dPt>
          <c:dPt>
            <c:idx val="1"/>
            <c:bubble3D val="0"/>
            <c:explosion val="13"/>
            <c:spPr>
              <a:solidFill>
                <a:schemeClr val="accent2"/>
              </a:solidFill>
              <a:ln>
                <a:solidFill>
                  <a:schemeClr val="bg1"/>
                </a:solidFill>
              </a:ln>
              <a:effectLst/>
            </c:spPr>
          </c:dPt>
          <c:dLbls>
            <c:delete val="1"/>
          </c:dLbls>
          <c:cat>
            <c:strRef>
              <c:f>Sheet1!$A$2:$A$3</c:f>
              <c:strCache>
                <c:ptCount val="2"/>
                <c:pt idx="0">
                  <c:v>社会保障和就业支出</c:v>
                </c:pt>
                <c:pt idx="1">
                  <c:v>卫生健康支出</c:v>
                </c:pt>
              </c:strCache>
            </c:strRef>
          </c:cat>
          <c:val>
            <c:numRef>
              <c:f>Sheet1!$B$2:$B$3</c:f>
              <c:numCache>
                <c:formatCode>General</c:formatCode>
                <c:ptCount val="2"/>
                <c:pt idx="0">
                  <c:v>5.67</c:v>
                </c:pt>
                <c:pt idx="1">
                  <c:v>94.33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三公经费占比</c:v>
                </c:pt>
              </c:strCache>
            </c:strRef>
          </c:tx>
          <c:spPr>
            <a:ln>
              <a:noFill/>
            </a:ln>
          </c:spPr>
          <c:explosion val="0"/>
          <c:dPt>
            <c:idx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c:v>
                </c:pt>
              </c:strCache>
            </c:strRef>
          </c:cat>
          <c:val>
            <c:numRef>
              <c:f>Sheet1!$B$2</c:f>
              <c:numCache>
                <c:formatCode>General</c:formatCode>
                <c:ptCount val="1"/>
                <c:pt idx="0">
                  <c:v>100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31</Pages>
  <Words>2282</Words>
  <Characters>13013</Characters>
  <Lines>108</Lines>
  <Paragraphs>30</Paragraphs>
  <TotalTime>0</TotalTime>
  <ScaleCrop>false</ScaleCrop>
  <LinksUpToDate>false</LinksUpToDate>
  <CharactersWithSpaces>15265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2023-10-29T03:24:15Z</dcterms:modified>
  <dc:title>四川省***</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4F10C365F8DB4354BA79BBC7ADD6E392_13</vt:lpwstr>
  </property>
</Properties>
</file>