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ascii="方正小标宋简体" w:hAnsi="宋体" w:eastAsia="方正小标宋简体"/>
          <w:szCs w:val="21"/>
        </w:rPr>
      </w:pPr>
      <w:bookmarkStart w:id="0" w:name="_Toc15306267"/>
      <w:bookmarkStart w:id="152" w:name="_GoBack"/>
      <w:bookmarkEnd w:id="152"/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sz w:val="72"/>
          <w:szCs w:val="72"/>
        </w:rPr>
      </w:pPr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sz w:val="72"/>
          <w:szCs w:val="72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hint="eastAsia" w:ascii="方正小标宋简体" w:hAnsi="方正小标宋简体" w:eastAsia="宋体" w:cs="方正小标宋简体"/>
          <w:sz w:val="72"/>
          <w:szCs w:val="72"/>
          <w:lang w:val="en-US" w:eastAsia="zh-CN"/>
        </w:rPr>
      </w:pPr>
      <w:bookmarkStart w:id="1" w:name="_Toc15377193"/>
      <w:bookmarkStart w:id="2" w:name="_Toc15378441"/>
      <w:bookmarkStart w:id="3" w:name="_Toc21166"/>
      <w:bookmarkStart w:id="4" w:name="_Toc15396597"/>
      <w:bookmarkStart w:id="5" w:name="_Toc15396475"/>
      <w:bookmarkStart w:id="6" w:name="_Toc15377425"/>
      <w:bookmarkStart w:id="7" w:name="_Toc13898"/>
      <w:r>
        <w:rPr>
          <w:rStyle w:val="28"/>
          <w:rFonts w:hint="eastAsia"/>
        </w:rPr>
        <w:t>2022年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Style w:val="28"/>
          <w:rFonts w:hint="eastAsia"/>
          <w:lang w:eastAsia="zh-CN"/>
        </w:rPr>
        <w:t>度</w:t>
      </w:r>
    </w:p>
    <w:p>
      <w:pPr>
        <w:pStyle w:val="6"/>
        <w:bidi w:val="0"/>
        <w:ind w:firstLine="883" w:firstLineChars="200"/>
        <w:jc w:val="center"/>
      </w:pPr>
      <w:bookmarkStart w:id="8" w:name="_Toc16390"/>
      <w:bookmarkStart w:id="9" w:name="_Toc15378442"/>
      <w:bookmarkStart w:id="10" w:name="_Toc15377194"/>
      <w:bookmarkStart w:id="11" w:name="_Toc15396476"/>
      <w:bookmarkStart w:id="12" w:name="_Toc15377426"/>
      <w:bookmarkStart w:id="13" w:name="_Toc12691"/>
      <w:bookmarkStart w:id="14" w:name="_Toc15396598"/>
      <w:r>
        <w:rPr>
          <w:rFonts w:hint="eastAsia"/>
        </w:rPr>
        <w:t>剑阁县</w:t>
      </w:r>
      <w:bookmarkEnd w:id="0"/>
      <w:bookmarkStart w:id="15" w:name="_Toc15306268"/>
      <w:r>
        <w:rPr>
          <w:rFonts w:hint="eastAsia"/>
          <w:lang w:val="en-US" w:eastAsia="zh-CN"/>
        </w:rPr>
        <w:t>王河</w:t>
      </w:r>
      <w:r>
        <w:rPr>
          <w:rFonts w:hint="eastAsia"/>
          <w:lang w:eastAsia="zh-CN"/>
        </w:rPr>
        <w:t>镇卫生院</w:t>
      </w:r>
      <w:r>
        <w:rPr>
          <w:rFonts w:hint="eastAsia"/>
        </w:rPr>
        <w:t>单位决算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/>
    <w:p>
      <w:pPr>
        <w:widowControl/>
        <w:jc w:val="center"/>
        <w:rPr>
          <w:rFonts w:ascii="黑体" w:hAnsi="黑体" w:eastAsia="黑体"/>
          <w:sz w:val="48"/>
          <w:szCs w:val="48"/>
        </w:rPr>
      </w:pPr>
      <w:r>
        <w:rPr>
          <w:rFonts w:ascii="方正小标宋简体" w:hAnsi="宋体" w:eastAsia="方正小标宋简体"/>
          <w:sz w:val="36"/>
          <w:szCs w:val="36"/>
        </w:rPr>
        <w:br w:type="page"/>
      </w:r>
      <w:r>
        <w:rPr>
          <w:rFonts w:hint="eastAsia" w:ascii="黑体" w:hAnsi="黑体" w:eastAsia="黑体"/>
          <w:sz w:val="48"/>
          <w:szCs w:val="48"/>
        </w:rPr>
        <w:t>目录</w:t>
      </w:r>
    </w:p>
    <w:p>
      <w:pPr>
        <w:widowControl/>
        <w:jc w:val="center"/>
        <w:rPr>
          <w:rFonts w:ascii="黑体" w:hAnsi="黑体" w:eastAsia="黑体" w:cstheme="minorBidi"/>
          <w:sz w:val="28"/>
          <w:szCs w:val="28"/>
        </w:rPr>
      </w:pPr>
    </w:p>
    <w:p>
      <w:pPr>
        <w:pStyle w:val="13"/>
      </w:pPr>
      <w:r>
        <w:rPr>
          <w:rFonts w:hint="eastAsia"/>
        </w:rPr>
        <w:t>公开时间：2023年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 xml:space="preserve"> 月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日</w:t>
      </w:r>
    </w:p>
    <w:p/>
    <w:sdt>
      <w:sdt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id w:val="147482727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</w:p>
        <w:p>
          <w:pPr>
            <w:pStyle w:val="13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</w:p>
        <w:p>
          <w:pPr>
            <w:pStyle w:val="13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_Toc3944 </w:instrText>
          </w:r>
          <w:r>
            <w:fldChar w:fldCharType="separate"/>
          </w:r>
          <w:r>
            <w:rPr>
              <w:rFonts w:hint="eastAsia" w:ascii="黑体" w:hAnsi="黑体" w:eastAsia="黑体"/>
              <w:szCs w:val="36"/>
            </w:rPr>
            <w:t xml:space="preserve">第一部分 </w:t>
          </w:r>
          <w:r>
            <w:rPr>
              <w:rFonts w:hint="eastAsia" w:ascii="黑体" w:hAnsi="黑体" w:eastAsia="黑体"/>
              <w:szCs w:val="36"/>
              <w:lang w:val="en-US" w:eastAsia="zh-CN"/>
            </w:rPr>
            <w:t>剑阁县王河镇卫生院</w:t>
          </w:r>
          <w:r>
            <w:rPr>
              <w:rFonts w:hint="eastAsia" w:ascii="黑体" w:hAnsi="黑体" w:eastAsia="黑体"/>
              <w:szCs w:val="36"/>
            </w:rPr>
            <w:t>单位</w:t>
          </w:r>
          <w:r>
            <w:rPr>
              <w:rFonts w:hint="eastAsia" w:ascii="黑体" w:hAnsi="黑体" w:eastAsia="黑体"/>
              <w:bCs w:val="0"/>
              <w:szCs w:val="36"/>
            </w:rPr>
            <w:t>概况</w:t>
          </w:r>
          <w:r>
            <w:tab/>
          </w:r>
          <w:r>
            <w:fldChar w:fldCharType="begin"/>
          </w:r>
          <w:r>
            <w:instrText xml:space="preserve"> PAGEREF _Toc3944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_Toc10441 </w:instrText>
          </w:r>
          <w:r>
            <w:fldChar w:fldCharType="separate"/>
          </w:r>
          <w:r>
            <w:rPr>
              <w:rFonts w:hint="eastAsia" w:ascii="黑体" w:hAnsi="黑体" w:eastAsia="黑体" w:cs="黑体"/>
              <w:bCs w:val="0"/>
              <w:szCs w:val="28"/>
            </w:rPr>
            <w:t xml:space="preserve">一、 </w:t>
          </w:r>
          <w:r>
            <w:rPr>
              <w:rFonts w:hint="eastAsia" w:ascii="黑体" w:hAnsi="黑体" w:eastAsia="黑体"/>
              <w:bCs w:val="0"/>
              <w:szCs w:val="32"/>
            </w:rPr>
            <w:t>主要职责</w:t>
          </w:r>
          <w:r>
            <w:tab/>
          </w:r>
          <w:r>
            <w:fldChar w:fldCharType="begin"/>
          </w:r>
          <w:r>
            <w:instrText xml:space="preserve"> PAGEREF _Toc10441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_Toc7354 </w:instrText>
          </w:r>
          <w:r>
            <w:fldChar w:fldCharType="separate"/>
          </w:r>
          <w:r>
            <w:rPr>
              <w:rFonts w:hint="eastAsia" w:ascii="黑体" w:hAnsi="黑体" w:eastAsia="黑体" w:cs="黑体"/>
              <w:kern w:val="0"/>
              <w:szCs w:val="28"/>
            </w:rPr>
            <w:t xml:space="preserve">二、 </w:t>
          </w:r>
          <w:r>
            <w:rPr>
              <w:rFonts w:hint="eastAsia" w:ascii="黑体" w:hAnsi="黑体" w:eastAsia="黑体"/>
              <w:szCs w:val="32"/>
            </w:rPr>
            <w:t>机构设置</w:t>
          </w:r>
          <w:r>
            <w:tab/>
          </w:r>
          <w:r>
            <w:fldChar w:fldCharType="begin"/>
          </w:r>
          <w:r>
            <w:instrText xml:space="preserve"> PAGEREF _Toc7354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306"/>
              <w:tab w:val="clear" w:pos="8296"/>
            </w:tabs>
            <w:jc w:val="both"/>
          </w:pPr>
          <w:r>
            <w:fldChar w:fldCharType="begin"/>
          </w:r>
          <w:r>
            <w:instrText xml:space="preserve"> HYPERLINK \l _Toc9753 </w:instrText>
          </w:r>
          <w:r>
            <w:fldChar w:fldCharType="separate"/>
          </w:r>
          <w:r>
            <w:rPr>
              <w:rFonts w:hint="eastAsia" w:ascii="黑体" w:hAnsi="黑体" w:eastAsia="黑体"/>
              <w:szCs w:val="36"/>
            </w:rPr>
            <w:t xml:space="preserve">第二部分 </w:t>
          </w:r>
          <w:r>
            <w:rPr>
              <w:rFonts w:hint="eastAsia" w:ascii="黑体" w:hAnsi="黑体" w:eastAsia="黑体"/>
              <w:szCs w:val="36"/>
              <w:lang w:val="en-US" w:eastAsia="zh-CN"/>
            </w:rPr>
            <w:t>剑阁县王河镇卫生院</w:t>
          </w:r>
          <w:r>
            <w:rPr>
              <w:rFonts w:hint="eastAsia" w:ascii="黑体" w:hAnsi="黑体" w:eastAsia="黑体"/>
              <w:szCs w:val="36"/>
            </w:rPr>
            <w:t>2022年度</w:t>
          </w:r>
          <w:r>
            <w:rPr>
              <w:rFonts w:hint="eastAsia" w:ascii="黑体" w:hAnsi="黑体" w:eastAsia="黑体"/>
              <w:bCs/>
              <w:szCs w:val="36"/>
            </w:rPr>
            <w:t>单位决算情况说明</w:t>
          </w:r>
          <w:r>
            <w:tab/>
          </w:r>
          <w:r>
            <w:fldChar w:fldCharType="begin"/>
          </w:r>
          <w:r>
            <w:instrText xml:space="preserve"> PAGEREF _Toc9753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_Toc1463 </w:instrText>
          </w:r>
          <w:r>
            <w:fldChar w:fldCharType="separate"/>
          </w:r>
          <w:r>
            <w:rPr>
              <w:rFonts w:hint="default" w:ascii="黑体" w:hAnsi="黑体" w:eastAsia="黑体"/>
            </w:rPr>
            <w:t xml:space="preserve">一、 </w:t>
          </w:r>
          <w:r>
            <w:rPr>
              <w:rFonts w:hint="eastAsia" w:ascii="黑体" w:hAnsi="黑体" w:eastAsia="黑体"/>
              <w:szCs w:val="32"/>
            </w:rPr>
            <w:t>收</w:t>
          </w:r>
          <w:r>
            <w:rPr>
              <w:rFonts w:hint="eastAsia" w:ascii="黑体" w:hAnsi="黑体" w:eastAsia="黑体"/>
            </w:rPr>
            <w:t>入支出决算总体情况说明</w:t>
          </w:r>
          <w:r>
            <w:tab/>
          </w:r>
          <w:r>
            <w:fldChar w:fldCharType="begin"/>
          </w:r>
          <w:r>
            <w:instrText xml:space="preserve"> PAGEREF _Toc1463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_Toc27693 </w:instrText>
          </w:r>
          <w:r>
            <w:fldChar w:fldCharType="separate"/>
          </w:r>
          <w:r>
            <w:rPr>
              <w:rFonts w:hint="default" w:ascii="黑体" w:hAnsi="黑体" w:eastAsia="黑体"/>
            </w:rPr>
            <w:t xml:space="preserve">二、 </w:t>
          </w:r>
          <w:r>
            <w:rPr>
              <w:rFonts w:hint="eastAsia" w:ascii="黑体" w:hAnsi="黑体" w:eastAsia="黑体"/>
              <w:szCs w:val="32"/>
            </w:rPr>
            <w:t>收</w:t>
          </w:r>
          <w:r>
            <w:rPr>
              <w:rFonts w:hint="eastAsia" w:ascii="黑体" w:hAnsi="黑体" w:eastAsia="黑体"/>
            </w:rPr>
            <w:t>入决算情况说明</w:t>
          </w:r>
          <w:r>
            <w:tab/>
          </w:r>
          <w:r>
            <w:fldChar w:fldCharType="begin"/>
          </w:r>
          <w:r>
            <w:instrText xml:space="preserve"> PAGEREF _Toc27693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_Toc23324 </w:instrText>
          </w:r>
          <w:r>
            <w:fldChar w:fldCharType="separate"/>
          </w:r>
          <w:r>
            <w:rPr>
              <w:rFonts w:hint="default" w:ascii="黑体" w:hAnsi="黑体" w:eastAsia="黑体"/>
            </w:rPr>
            <w:t xml:space="preserve">三、 </w:t>
          </w:r>
          <w:r>
            <w:rPr>
              <w:rFonts w:hint="eastAsia" w:ascii="黑体" w:hAnsi="黑体" w:eastAsia="黑体"/>
              <w:szCs w:val="32"/>
            </w:rPr>
            <w:t>支</w:t>
          </w:r>
          <w:r>
            <w:rPr>
              <w:rFonts w:hint="eastAsia" w:ascii="黑体" w:hAnsi="黑体" w:eastAsia="黑体"/>
            </w:rPr>
            <w:t>出决算情况说明</w:t>
          </w:r>
          <w:r>
            <w:tab/>
          </w:r>
          <w:r>
            <w:fldChar w:fldCharType="begin"/>
          </w:r>
          <w:r>
            <w:instrText xml:space="preserve"> PAGEREF _Toc23324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_Toc14341 </w:instrText>
          </w:r>
          <w:r>
            <w:fldChar w:fldCharType="separate"/>
          </w:r>
          <w:r>
            <w:rPr>
              <w:rFonts w:hint="eastAsia" w:ascii="黑体" w:hAnsi="黑体" w:eastAsia="黑体"/>
              <w:szCs w:val="32"/>
            </w:rPr>
            <w:t>四、财</w:t>
          </w:r>
          <w:r>
            <w:rPr>
              <w:rFonts w:hint="eastAsia" w:ascii="黑体" w:hAnsi="黑体" w:eastAsia="黑体"/>
            </w:rPr>
            <w:t>政拨款收入支出决算总体情况说明</w:t>
          </w:r>
          <w:r>
            <w:tab/>
          </w:r>
          <w:r>
            <w:fldChar w:fldCharType="begin"/>
          </w:r>
          <w:r>
            <w:instrText xml:space="preserve"> PAGEREF _Toc14341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_Toc9344 </w:instrText>
          </w:r>
          <w:r>
            <w:fldChar w:fldCharType="separate"/>
          </w:r>
          <w:r>
            <w:rPr>
              <w:rFonts w:hint="eastAsia" w:ascii="黑体" w:hAnsi="黑体" w:eastAsia="黑体"/>
              <w:szCs w:val="32"/>
            </w:rPr>
            <w:t>五、一</w:t>
          </w:r>
          <w:r>
            <w:rPr>
              <w:rFonts w:hint="eastAsia" w:ascii="黑体" w:hAnsi="黑体" w:eastAsia="黑体"/>
            </w:rPr>
            <w:t>般公共预算财政拨款支出决算情况说明</w:t>
          </w:r>
          <w:r>
            <w:tab/>
          </w:r>
          <w:r>
            <w:fldChar w:fldCharType="begin"/>
          </w:r>
          <w:r>
            <w:instrText xml:space="preserve"> PAGEREF _Toc9344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_Toc18313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（一）一般公共预算财政拨款支出决算总体情况</w:t>
          </w:r>
          <w:r>
            <w:tab/>
          </w:r>
          <w:r>
            <w:fldChar w:fldCharType="begin"/>
          </w:r>
          <w:r>
            <w:instrText xml:space="preserve"> PAGEREF _Toc18313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_Toc24692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（二）一般公共预算财政拨款支出决算结构情况</w:t>
          </w:r>
          <w:r>
            <w:tab/>
          </w:r>
          <w:r>
            <w:fldChar w:fldCharType="begin"/>
          </w:r>
          <w:r>
            <w:instrText xml:space="preserve"> PAGEREF _Toc24692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_Toc7501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（三）一般公共预算财政拨款支出决算具体情况</w:t>
          </w:r>
          <w:r>
            <w:tab/>
          </w:r>
          <w:r>
            <w:fldChar w:fldCharType="begin"/>
          </w:r>
          <w:r>
            <w:instrText xml:space="preserve"> PAGEREF _Toc7501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_Toc1240 </w:instrText>
          </w:r>
          <w:r>
            <w:fldChar w:fldCharType="separate"/>
          </w:r>
          <w:r>
            <w:rPr>
              <w:rFonts w:hint="eastAsia" w:ascii="黑体" w:eastAsia="黑体"/>
              <w:szCs w:val="32"/>
            </w:rPr>
            <w:t>六、</w:t>
          </w:r>
          <w:r>
            <w:rPr>
              <w:rFonts w:hint="eastAsia" w:ascii="黑体" w:hAnsi="黑体" w:eastAsia="黑体"/>
              <w:szCs w:val="32"/>
            </w:rPr>
            <w:t>一</w:t>
          </w:r>
          <w:r>
            <w:rPr>
              <w:rFonts w:hint="eastAsia" w:ascii="黑体" w:hAnsi="黑体" w:eastAsia="黑体"/>
            </w:rPr>
            <w:t>般公共预算财政拨款基本支出决算情况说明</w:t>
          </w:r>
          <w:r>
            <w:tab/>
          </w:r>
          <w:r>
            <w:fldChar w:fldCharType="begin"/>
          </w:r>
          <w:r>
            <w:instrText xml:space="preserve"> PAGEREF _Toc1240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_Toc2355 </w:instrText>
          </w:r>
          <w:r>
            <w:fldChar w:fldCharType="separate"/>
          </w:r>
          <w:r>
            <w:rPr>
              <w:rFonts w:hint="eastAsia" w:ascii="黑体" w:eastAsia="黑体"/>
              <w:szCs w:val="32"/>
            </w:rPr>
            <w:t>七、</w:t>
          </w:r>
          <w:r>
            <w:rPr>
              <w:rFonts w:hint="eastAsia" w:ascii="黑体" w:hAnsi="黑体" w:eastAsia="黑体"/>
            </w:rPr>
            <w:t>财政拨款“三公”经费支出决算情况说明</w:t>
          </w:r>
          <w:r>
            <w:tab/>
          </w:r>
          <w:r>
            <w:fldChar w:fldCharType="begin"/>
          </w:r>
          <w:r>
            <w:instrText xml:space="preserve"> PAGEREF _Toc2355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_Toc13899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（一）“三公”经费财政拨款支出决算总体情况说明</w:t>
          </w:r>
          <w:r>
            <w:tab/>
          </w:r>
          <w:r>
            <w:fldChar w:fldCharType="begin"/>
          </w:r>
          <w:r>
            <w:instrText xml:space="preserve"> PAGEREF _Toc13899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_Toc17020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（二）“三公”经费财政拨款支出决算具体情况说明</w:t>
          </w:r>
          <w:r>
            <w:tab/>
          </w:r>
          <w:r>
            <w:fldChar w:fldCharType="begin"/>
          </w:r>
          <w:r>
            <w:instrText xml:space="preserve"> PAGEREF _Toc17020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_Toc23983 </w:instrText>
          </w:r>
          <w:r>
            <w:fldChar w:fldCharType="separate"/>
          </w:r>
          <w:r>
            <w:rPr>
              <w:rFonts w:hint="eastAsia" w:ascii="黑体" w:eastAsia="黑体"/>
              <w:szCs w:val="32"/>
            </w:rPr>
            <w:t>八、</w:t>
          </w:r>
          <w:r>
            <w:rPr>
              <w:rFonts w:hint="eastAsia" w:ascii="黑体" w:hAnsi="黑体" w:eastAsia="黑体"/>
            </w:rPr>
            <w:t>政府性基金预算支出决算情况说明</w:t>
          </w:r>
          <w:r>
            <w:tab/>
          </w:r>
          <w:r>
            <w:fldChar w:fldCharType="begin"/>
          </w:r>
          <w:r>
            <w:instrText xml:space="preserve"> PAGEREF _Toc23983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_Toc7731 </w:instrText>
          </w:r>
          <w:r>
            <w:fldChar w:fldCharType="separate"/>
          </w:r>
          <w:r>
            <w:rPr>
              <w:rFonts w:hint="eastAsia" w:ascii="黑体" w:hAnsi="黑体" w:eastAsia="黑体"/>
            </w:rPr>
            <w:t>九、 国有资本经营预算支出决算情况说明</w:t>
          </w:r>
          <w:r>
            <w:tab/>
          </w:r>
          <w:r>
            <w:fldChar w:fldCharType="begin"/>
          </w:r>
          <w:r>
            <w:instrText xml:space="preserve"> PAGEREF _Toc7731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_Toc29178 </w:instrText>
          </w:r>
          <w:r>
            <w:fldChar w:fldCharType="separate"/>
          </w:r>
          <w:r>
            <w:rPr>
              <w:rFonts w:hint="eastAsia" w:ascii="黑体" w:hAnsi="黑体" w:eastAsia="黑体"/>
            </w:rPr>
            <w:t>十、 其他重要事项的情况说明</w:t>
          </w:r>
          <w:r>
            <w:tab/>
          </w:r>
          <w:r>
            <w:fldChar w:fldCharType="begin"/>
          </w:r>
          <w:r>
            <w:instrText xml:space="preserve"> PAGEREF _Toc29178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_Toc5022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（一）机关运行经费支出情况</w:t>
          </w:r>
          <w:r>
            <w:tab/>
          </w:r>
          <w:r>
            <w:fldChar w:fldCharType="begin"/>
          </w:r>
          <w:r>
            <w:instrText xml:space="preserve"> PAGEREF _Toc5022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_Toc249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（二）政府采购支出情况</w:t>
          </w:r>
          <w:r>
            <w:tab/>
          </w:r>
          <w:r>
            <w:fldChar w:fldCharType="begin"/>
          </w:r>
          <w:r>
            <w:instrText xml:space="preserve"> PAGEREF _Toc249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_Toc1669 </w:instrText>
          </w:r>
          <w:r>
            <w:fldChar w:fldCharType="separate"/>
          </w:r>
          <w:r>
            <w:rPr>
              <w:rFonts w:hint="eastAsia" w:ascii="仿宋" w:hAnsi="仿宋" w:eastAsia="仿宋"/>
              <w:szCs w:val="32"/>
            </w:rPr>
            <w:t>（三）国有资产占有使用情况</w:t>
          </w:r>
          <w:r>
            <w:tab/>
          </w:r>
          <w:r>
            <w:fldChar w:fldCharType="begin"/>
          </w:r>
          <w:r>
            <w:instrText xml:space="preserve"> PAGEREF _Toc1669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_Toc24189 </w:instrText>
          </w:r>
          <w:r>
            <w:fldChar w:fldCharType="separate"/>
          </w:r>
          <w:r>
            <w:rPr>
              <w:rFonts w:hint="eastAsia" w:ascii="黑体" w:hAnsi="黑体" w:eastAsia="黑体" w:cs="黑体"/>
              <w:szCs w:val="44"/>
            </w:rPr>
            <w:t xml:space="preserve">第三部分 </w:t>
          </w:r>
          <w:r>
            <w:rPr>
              <w:rFonts w:hint="eastAsia" w:ascii="黑体" w:hAnsi="黑体" w:eastAsia="黑体"/>
              <w:szCs w:val="44"/>
            </w:rPr>
            <w:t>名</w:t>
          </w:r>
          <w:r>
            <w:rPr>
              <w:rFonts w:hint="eastAsia" w:ascii="黑体" w:hAnsi="黑体" w:eastAsia="黑体"/>
            </w:rPr>
            <w:t>词解释</w:t>
          </w:r>
          <w:r>
            <w:tab/>
          </w:r>
          <w:r>
            <w:fldChar w:fldCharType="begin"/>
          </w:r>
          <w:r>
            <w:instrText xml:space="preserve"> PAGEREF _Toc24189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_Toc9018 </w:instrText>
          </w:r>
          <w:r>
            <w:fldChar w:fldCharType="separate"/>
          </w:r>
          <w:r>
            <w:rPr>
              <w:rFonts w:hint="eastAsia" w:ascii="黑体" w:hAnsi="黑体" w:eastAsia="黑体"/>
              <w:szCs w:val="44"/>
            </w:rPr>
            <w:t>第</w:t>
          </w:r>
          <w:r>
            <w:rPr>
              <w:rFonts w:hint="eastAsia" w:ascii="黑体" w:hAnsi="黑体" w:eastAsia="黑体"/>
              <w:lang w:eastAsia="zh-CN"/>
            </w:rPr>
            <w:t>四</w:t>
          </w:r>
          <w:r>
            <w:rPr>
              <w:rFonts w:hint="eastAsia" w:ascii="黑体" w:hAnsi="黑体" w:eastAsia="黑体"/>
            </w:rPr>
            <w:t>部分 附表</w:t>
          </w:r>
          <w:r>
            <w:tab/>
          </w:r>
          <w:r>
            <w:fldChar w:fldCharType="begin"/>
          </w:r>
          <w:r>
            <w:instrText xml:space="preserve"> PAGEREF _Toc9018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_Toc31260 </w:instrText>
          </w:r>
          <w:r>
            <w:fldChar w:fldCharType="separate"/>
          </w:r>
          <w:r>
            <w:rPr>
              <w:rFonts w:hint="eastAsia" w:ascii="仿宋" w:hAnsi="仿宋" w:eastAsia="仿宋"/>
            </w:rPr>
            <w:t>一、收</w:t>
          </w:r>
          <w:r>
            <w:rPr>
              <w:rFonts w:hint="eastAsia" w:ascii="仿宋" w:hAnsi="仿宋" w:eastAsia="仿宋"/>
              <w:bCs w:val="0"/>
            </w:rPr>
            <w:t>入支出决算总表</w:t>
          </w:r>
          <w:r>
            <w:tab/>
          </w:r>
          <w:r>
            <w:fldChar w:fldCharType="begin"/>
          </w:r>
          <w:r>
            <w:instrText xml:space="preserve"> PAGEREF _Toc31260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_Toc27571 </w:instrText>
          </w:r>
          <w:r>
            <w:fldChar w:fldCharType="separate"/>
          </w:r>
          <w:r>
            <w:rPr>
              <w:rFonts w:hint="eastAsia" w:ascii="仿宋" w:hAnsi="仿宋" w:eastAsia="仿宋"/>
            </w:rPr>
            <w:t>二、收</w:t>
          </w:r>
          <w:r>
            <w:rPr>
              <w:rFonts w:hint="eastAsia" w:ascii="仿宋" w:hAnsi="仿宋" w:eastAsia="仿宋"/>
              <w:bCs w:val="0"/>
            </w:rPr>
            <w:t>入决算表</w:t>
          </w:r>
          <w:r>
            <w:tab/>
          </w:r>
          <w:r>
            <w:fldChar w:fldCharType="begin"/>
          </w:r>
          <w:r>
            <w:instrText xml:space="preserve"> PAGEREF _Toc27571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_Toc1256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三、</w:t>
          </w:r>
          <w:r>
            <w:rPr>
              <w:rFonts w:hint="eastAsia" w:ascii="仿宋" w:hAnsi="仿宋" w:eastAsia="仿宋"/>
            </w:rPr>
            <w:t>支</w:t>
          </w:r>
          <w:r>
            <w:rPr>
              <w:rFonts w:hint="eastAsia" w:ascii="仿宋" w:hAnsi="仿宋" w:eastAsia="仿宋"/>
              <w:bCs w:val="0"/>
            </w:rPr>
            <w:t>出决算表</w:t>
          </w:r>
          <w:r>
            <w:tab/>
          </w:r>
          <w:r>
            <w:fldChar w:fldCharType="begin"/>
          </w:r>
          <w:r>
            <w:instrText xml:space="preserve"> PAGEREF _Toc1256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_Toc15690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四、</w:t>
          </w:r>
          <w:r>
            <w:rPr>
              <w:rFonts w:hint="eastAsia" w:ascii="仿宋" w:hAnsi="仿宋" w:eastAsia="仿宋"/>
            </w:rPr>
            <w:t>财</w:t>
          </w:r>
          <w:r>
            <w:rPr>
              <w:rFonts w:hint="eastAsia" w:ascii="仿宋" w:hAnsi="仿宋" w:eastAsia="仿宋"/>
              <w:bCs w:val="0"/>
            </w:rPr>
            <w:t>政拨款收入支出决算总表</w:t>
          </w:r>
          <w:r>
            <w:tab/>
          </w:r>
          <w:r>
            <w:fldChar w:fldCharType="begin"/>
          </w:r>
          <w:r>
            <w:instrText xml:space="preserve"> PAGEREF _Toc15690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_Toc24148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五、</w:t>
          </w:r>
          <w:r>
            <w:rPr>
              <w:rFonts w:hint="eastAsia" w:ascii="仿宋" w:hAnsi="仿宋" w:eastAsia="仿宋"/>
            </w:rPr>
            <w:t>财</w:t>
          </w:r>
          <w:r>
            <w:rPr>
              <w:rFonts w:hint="eastAsia" w:ascii="仿宋" w:hAnsi="仿宋" w:eastAsia="仿宋"/>
              <w:bCs w:val="0"/>
            </w:rPr>
            <w:t>政拨款支出决算明细表</w:t>
          </w:r>
          <w:r>
            <w:tab/>
          </w:r>
          <w:r>
            <w:fldChar w:fldCharType="begin"/>
          </w:r>
          <w:r>
            <w:instrText xml:space="preserve"> PAGEREF _Toc24148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_Toc23060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六、</w:t>
          </w:r>
          <w:r>
            <w:rPr>
              <w:rFonts w:hint="eastAsia" w:ascii="仿宋" w:hAnsi="仿宋" w:eastAsia="仿宋"/>
            </w:rPr>
            <w:t>一</w:t>
          </w:r>
          <w:r>
            <w:rPr>
              <w:rFonts w:hint="eastAsia" w:ascii="仿宋" w:hAnsi="仿宋" w:eastAsia="仿宋"/>
              <w:bCs w:val="0"/>
            </w:rPr>
            <w:t>般公共预算财政拨款支出决算表</w:t>
          </w:r>
          <w:r>
            <w:tab/>
          </w:r>
          <w:r>
            <w:fldChar w:fldCharType="begin"/>
          </w:r>
          <w:r>
            <w:instrText xml:space="preserve"> PAGEREF _Toc23060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_Toc20969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七、</w:t>
          </w:r>
          <w:r>
            <w:rPr>
              <w:rFonts w:hint="eastAsia" w:ascii="仿宋" w:hAnsi="仿宋" w:eastAsia="仿宋"/>
            </w:rPr>
            <w:t>一</w:t>
          </w:r>
          <w:r>
            <w:rPr>
              <w:rFonts w:hint="eastAsia" w:ascii="仿宋" w:hAnsi="仿宋" w:eastAsia="仿宋"/>
              <w:bCs w:val="0"/>
            </w:rPr>
            <w:t>般公共预算财政拨款支出决算明细表</w:t>
          </w:r>
          <w:r>
            <w:tab/>
          </w:r>
          <w:r>
            <w:fldChar w:fldCharType="begin"/>
          </w:r>
          <w:r>
            <w:instrText xml:space="preserve"> PAGEREF _Toc20969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_Toc21020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八、</w:t>
          </w:r>
          <w:r>
            <w:rPr>
              <w:rFonts w:hint="eastAsia" w:ascii="仿宋" w:hAnsi="仿宋" w:eastAsia="仿宋"/>
            </w:rPr>
            <w:t>一</w:t>
          </w:r>
          <w:r>
            <w:rPr>
              <w:rFonts w:hint="eastAsia" w:ascii="仿宋" w:hAnsi="仿宋" w:eastAsia="仿宋"/>
              <w:bCs w:val="0"/>
            </w:rPr>
            <w:t>般公共预算财政拨款基本支出决算表</w:t>
          </w:r>
          <w:r>
            <w:tab/>
          </w:r>
          <w:r>
            <w:fldChar w:fldCharType="begin"/>
          </w:r>
          <w:r>
            <w:instrText xml:space="preserve"> PAGEREF _Toc21020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_Toc24484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九、</w:t>
          </w:r>
          <w:r>
            <w:rPr>
              <w:rFonts w:hint="eastAsia" w:ascii="仿宋" w:hAnsi="仿宋" w:eastAsia="仿宋"/>
            </w:rPr>
            <w:t>一</w:t>
          </w:r>
          <w:r>
            <w:rPr>
              <w:rFonts w:hint="eastAsia" w:ascii="仿宋" w:hAnsi="仿宋" w:eastAsia="仿宋"/>
              <w:bCs w:val="0"/>
            </w:rPr>
            <w:t>般公共预算财政拨款项目支出决算表</w:t>
          </w:r>
          <w:r>
            <w:tab/>
          </w:r>
          <w:r>
            <w:fldChar w:fldCharType="begin"/>
          </w:r>
          <w:r>
            <w:instrText xml:space="preserve"> PAGEREF _Toc24484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_Toc32023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十、</w:t>
          </w:r>
          <w:r>
            <w:rPr>
              <w:rFonts w:hint="eastAsia" w:ascii="仿宋" w:hAnsi="仿宋" w:eastAsia="仿宋"/>
            </w:rPr>
            <w:t>政</w:t>
          </w:r>
          <w:r>
            <w:rPr>
              <w:rFonts w:hint="eastAsia" w:ascii="仿宋" w:hAnsi="仿宋" w:eastAsia="仿宋"/>
              <w:bCs w:val="0"/>
            </w:rPr>
            <w:t>府性基金预算财政拨款收入支出决算表</w:t>
          </w:r>
          <w:r>
            <w:tab/>
          </w:r>
          <w:r>
            <w:fldChar w:fldCharType="begin"/>
          </w:r>
          <w:r>
            <w:instrText xml:space="preserve"> PAGEREF _Toc32023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_Toc16714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十一、</w:t>
          </w:r>
          <w:r>
            <w:rPr>
              <w:rFonts w:hint="eastAsia" w:ascii="仿宋" w:hAnsi="仿宋" w:eastAsia="仿宋"/>
            </w:rPr>
            <w:t>国</w:t>
          </w:r>
          <w:r>
            <w:rPr>
              <w:rFonts w:hint="eastAsia" w:ascii="仿宋" w:hAnsi="仿宋" w:eastAsia="仿宋"/>
              <w:bCs w:val="0"/>
            </w:rPr>
            <w:t>有资本经营预算财政拨款收入支出决算表</w:t>
          </w:r>
          <w:r>
            <w:tab/>
          </w:r>
          <w:r>
            <w:fldChar w:fldCharType="begin"/>
          </w:r>
          <w:r>
            <w:instrText xml:space="preserve"> PAGEREF _Toc16714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_Toc4859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十二、国有资本经营预算财政拨款支出决算表</w:t>
          </w:r>
          <w:r>
            <w:tab/>
          </w:r>
          <w:r>
            <w:fldChar w:fldCharType="begin"/>
          </w:r>
          <w:r>
            <w:instrText xml:space="preserve"> PAGEREF _Toc4859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4"/>
            <w:tabs>
              <w:tab w:val="right" w:leader="dot" w:pos="8306"/>
              <w:tab w:val="clear" w:pos="8296"/>
            </w:tabs>
          </w:pPr>
          <w:r>
            <w:fldChar w:fldCharType="begin"/>
          </w:r>
          <w:r>
            <w:instrText xml:space="preserve"> HYPERLINK \l _Toc10040 </w:instrText>
          </w:r>
          <w:r>
            <w:fldChar w:fldCharType="separate"/>
          </w:r>
          <w:r>
            <w:rPr>
              <w:rFonts w:hint="eastAsia" w:ascii="仿宋" w:hAnsi="仿宋" w:eastAsia="仿宋"/>
              <w:bCs w:val="0"/>
            </w:rPr>
            <w:t>十三、财政拨款“三公”经费支出决算表</w:t>
          </w:r>
          <w:r>
            <w:tab/>
          </w:r>
          <w:r>
            <w:fldChar w:fldCharType="begin"/>
          </w:r>
          <w:r>
            <w:instrText xml:space="preserve"> PAGEREF _Toc10040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r>
            <w:fldChar w:fldCharType="end"/>
          </w:r>
        </w:p>
      </w:sdtContent>
    </w:sdt>
    <w:p>
      <w:pPr>
        <w:widowControl/>
        <w:spacing w:line="440" w:lineRule="exact"/>
        <w:jc w:val="left"/>
        <w:rPr>
          <w:rFonts w:ascii="仿宋" w:hAnsi="仿宋" w:eastAsia="仿宋"/>
          <w:bCs/>
          <w:kern w:val="44"/>
          <w:sz w:val="24"/>
        </w:rPr>
      </w:pPr>
      <w:bookmarkStart w:id="16" w:name="_Toc15377196"/>
      <w:bookmarkStart w:id="17" w:name="_Toc15396599"/>
      <w:r>
        <w:rPr>
          <w:rFonts w:ascii="仿宋" w:hAnsi="仿宋" w:eastAsia="仿宋"/>
          <w:b/>
          <w:sz w:val="24"/>
        </w:rPr>
        <w:br w:type="page"/>
      </w:r>
    </w:p>
    <w:p>
      <w:pPr>
        <w:pStyle w:val="6"/>
        <w:jc w:val="center"/>
        <w:rPr>
          <w:rStyle w:val="28"/>
          <w:rFonts w:ascii="黑体" w:hAnsi="黑体" w:eastAsia="黑体"/>
          <w:b/>
          <w:bCs w:val="0"/>
          <w:sz w:val="36"/>
          <w:szCs w:val="36"/>
        </w:rPr>
      </w:pPr>
      <w:bookmarkStart w:id="18" w:name="_Toc3944"/>
      <w:bookmarkStart w:id="19" w:name="_Toc5879"/>
      <w:r>
        <w:rPr>
          <w:rFonts w:hint="eastAsia" w:ascii="黑体" w:hAnsi="黑体" w:eastAsia="黑体"/>
          <w:b w:val="0"/>
          <w:sz w:val="36"/>
          <w:szCs w:val="36"/>
        </w:rPr>
        <w:t xml:space="preserve">第一部分 </w:t>
      </w:r>
      <w:r>
        <w:rPr>
          <w:rFonts w:hint="eastAsia" w:ascii="黑体" w:hAnsi="黑体" w:eastAsia="黑体"/>
          <w:b w:val="0"/>
          <w:sz w:val="36"/>
          <w:szCs w:val="36"/>
          <w:lang w:val="en-US" w:eastAsia="zh-CN"/>
        </w:rPr>
        <w:t>剑阁县王河镇卫生院</w:t>
      </w:r>
      <w:r>
        <w:rPr>
          <w:rFonts w:hint="eastAsia" w:ascii="黑体" w:hAnsi="黑体" w:eastAsia="黑体"/>
          <w:b w:val="0"/>
          <w:sz w:val="36"/>
          <w:szCs w:val="36"/>
        </w:rPr>
        <w:t>单位</w:t>
      </w:r>
      <w:r>
        <w:rPr>
          <w:rStyle w:val="28"/>
          <w:rFonts w:hint="eastAsia" w:ascii="黑体" w:hAnsi="黑体" w:eastAsia="黑体"/>
          <w:b w:val="0"/>
          <w:bCs w:val="0"/>
          <w:sz w:val="36"/>
          <w:szCs w:val="36"/>
        </w:rPr>
        <w:t>概况</w:t>
      </w:r>
      <w:bookmarkEnd w:id="16"/>
      <w:bookmarkEnd w:id="17"/>
      <w:bookmarkEnd w:id="18"/>
      <w:bookmarkEnd w:id="19"/>
    </w:p>
    <w:p>
      <w:pPr>
        <w:pStyle w:val="7"/>
        <w:numPr>
          <w:ilvl w:val="0"/>
          <w:numId w:val="1"/>
        </w:numPr>
        <w:rPr>
          <w:rStyle w:val="29"/>
          <w:rFonts w:ascii="黑体" w:hAnsi="黑体" w:eastAsia="黑体"/>
          <w:b w:val="0"/>
          <w:bCs w:val="0"/>
          <w:sz w:val="32"/>
          <w:szCs w:val="32"/>
        </w:rPr>
      </w:pPr>
      <w:bookmarkStart w:id="20" w:name="_Toc23849"/>
      <w:bookmarkStart w:id="21" w:name="_Toc10441"/>
      <w:bookmarkStart w:id="22" w:name="_Toc15377197"/>
      <w:bookmarkStart w:id="23" w:name="_Toc15396600"/>
      <w:r>
        <w:rPr>
          <w:rStyle w:val="29"/>
          <w:rFonts w:hint="eastAsia" w:ascii="黑体" w:hAnsi="黑体" w:eastAsia="黑体"/>
          <w:b w:val="0"/>
          <w:bCs w:val="0"/>
          <w:sz w:val="32"/>
          <w:szCs w:val="32"/>
        </w:rPr>
        <w:t>主要职责</w:t>
      </w:r>
      <w:bookmarkEnd w:id="20"/>
      <w:bookmarkEnd w:id="21"/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剑</w:t>
      </w:r>
      <w:r>
        <w:rPr>
          <w:rFonts w:hint="eastAsia" w:ascii="仿宋" w:hAnsi="仿宋" w:eastAsia="仿宋" w:cs="仿宋"/>
          <w:sz w:val="32"/>
          <w:szCs w:val="32"/>
        </w:rPr>
        <w:t>阁县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王河镇</w:t>
      </w:r>
      <w:r>
        <w:rPr>
          <w:rFonts w:hint="eastAsia" w:ascii="仿宋" w:hAnsi="仿宋" w:eastAsia="仿宋" w:cs="仿宋"/>
          <w:sz w:val="32"/>
          <w:szCs w:val="32"/>
        </w:rPr>
        <w:t>卫生院是由政府举办，不以营利为目的，具有公共卫生性质的公益性事业单位，是提供基本公共卫生和基本医疗服务的基层卫生院。坚持以群体保健工作为基础，面向基层、预防为主，为群众提供健康教育、预防保健等公共卫生服务。在切实履行公共卫生职责的同时，开展基本医疗服务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院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是财政全额拨款的事业单位，现有在职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38人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,其中在编在职人员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，临聘人员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14人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0"/>
          <w:sz w:val="32"/>
          <w:szCs w:val="32"/>
          <w:lang w:val="en-US" w:eastAsia="zh-CN"/>
        </w:rPr>
        <w:t>二、2022年重点工作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（一）积极做好家庭医生签约服务和基本公共卫生服务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1、推进家庭医生签约服务高质量发展，扩大家庭医生来源渠道，不断丰富签约服务内涵和服务方式，全面实行弹性化服务协议和签约服务回访，在确保服务质量和签约履约基础上，各地力争使签约率每年提高1-3个百分点。尚未落实签约服务费的地方抓紧协调落实签约服务费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、基本公共卫生服务方面，切实用好财政资金投入，在深化慢病医防融合和重点人群健康管理服务上做好文章，真正增强群众获得感，提高满意度，各地要积极研提优化基本公共卫生项目的建议，中央建立项目候选备选动态数据库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FF0000"/>
          <w:kern w:val="2"/>
          <w:sz w:val="32"/>
          <w:szCs w:val="32"/>
          <w:lang w:val="en-US" w:eastAsia="zh-CN" w:bidi="ar-SA"/>
        </w:rPr>
      </w:pP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3.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剑阁县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王河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镇卫生院，为国家“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级乙等”综合医院。占地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1623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平方米，建筑面积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2361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平方米，业务用房面积为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1785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平方米。现有职工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38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人,编制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24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人，其中：副主任医师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人、护师3名、中级职称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人。我院门诊开设有急诊、全科医疗科、中、西医内、外、儿科、针灸理疗康复、口腔、等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10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多个临床科，编制床位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33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张，开放床位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35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张。拥有彩色B超、全自动生化分析仪、化学发光仪、尿液分析仪、全自动BC-3200血细胞分析仪、DR、500mAX光机、心电监护仪、计算机控制四维立体牵引车、电脑中频治疗仪、多功能微波治疗仪、等一批先进的现代化诊疗检测设备，具有较高诊疗技术手段和急救能力，是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剑阁县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“城镇医保定点医院”。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（三）基层临床特色科室建设方面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1.深入学习贯彻党的二十大精神及习总书记重要讲话，让其在医院落地、生根、开花，继续加强党风廉政建设，加强行风作风建设，加强全院职工思想素质教育，提高医院整体服务效能。每位职工牢记“救死扶伤、全心全意为人民服务的宗旨”，坚持“一切以病人为中心的服务理念”，特别是党员干部，政治上对组织绝对忠诚，以身作则，绝对服从组织。政令畅通，雷厉风行执行上级安排的各项任务，要有强烈的事业心和责任担当，工作上必须率先垂范，敢于开拓创新，勇争先锋！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2.继续狠抓医疗质量管理，持续改进医疗服务模式，拓展业务发展、同时加快人才培养。让辖区老百姓满意！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3.加强公卫、医疗、宣传及信息化建设工作。公卫工作做实、做细、不做假、做好宣传，落实好各项任务，做好“乡村一体化管理”，认真落实“家庭医生”责任，搞好协作，踏踏实实为人民群众健康服好务，进一步完善院容院貌改造，提升信息化建设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4.继续做好疫情常态化与治疗，国家疫情防控政策调整后，作为医务人员，一定加强国家政策的正面宣传，配合政府及上级部门，为人民群众生命健康保驾护航。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仿宋" w:hAnsi="仿宋" w:eastAsia="仿宋" w:cs="仿宋"/>
          <w:color w:val="FF0000"/>
          <w:kern w:val="2"/>
          <w:sz w:val="32"/>
          <w:szCs w:val="32"/>
          <w:lang w:val="en-US" w:eastAsia="zh-CN" w:bidi="ar-SA"/>
        </w:rPr>
      </w:pPr>
    </w:p>
    <w:p>
      <w:pPr>
        <w:pStyle w:val="7"/>
        <w:numPr>
          <w:ilvl w:val="0"/>
          <w:numId w:val="1"/>
        </w:numPr>
        <w:ind w:left="0" w:leftChars="0" w:firstLine="0" w:firstLineChars="0"/>
        <w:rPr>
          <w:rFonts w:ascii="仿宋" w:hAnsi="仿宋" w:eastAsia="仿宋"/>
          <w:kern w:val="0"/>
          <w:sz w:val="32"/>
          <w:szCs w:val="32"/>
        </w:rPr>
      </w:pPr>
      <w:bookmarkStart w:id="24" w:name="_Toc29489"/>
      <w:bookmarkStart w:id="25" w:name="_Toc7354"/>
      <w:r>
        <w:rPr>
          <w:rFonts w:hint="eastAsia" w:ascii="黑体" w:hAnsi="黑体" w:eastAsia="黑体"/>
          <w:b w:val="0"/>
          <w:sz w:val="32"/>
          <w:szCs w:val="32"/>
        </w:rPr>
        <w:t>机构设置</w:t>
      </w:r>
      <w:bookmarkEnd w:id="24"/>
      <w:bookmarkEnd w:id="25"/>
    </w:p>
    <w:p>
      <w:pPr>
        <w:pStyle w:val="7"/>
        <w:numPr>
          <w:ilvl w:val="0"/>
          <w:numId w:val="0"/>
        </w:numPr>
        <w:ind w:leftChars="0" w:firstLine="640" w:firstLineChars="200"/>
        <w:rPr>
          <w:rFonts w:hint="default"/>
          <w:color w:val="auto"/>
          <w:lang w:val="en-US"/>
        </w:rPr>
      </w:pPr>
      <w:bookmarkStart w:id="26" w:name="_Toc23091"/>
      <w:bookmarkStart w:id="27" w:name="_Toc13976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剑阁县王河镇卫生院无下属一级单位，</w:t>
      </w:r>
      <w:bookmarkEnd w:id="26"/>
      <w:bookmarkEnd w:id="27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下设综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合管理科室：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</w:rPr>
        <w:t>办公室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</w:rPr>
        <w:t>财务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eastAsia="zh-CN"/>
        </w:rPr>
        <w:t>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</w:rPr>
        <w:t>、护理部、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公卫科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</w:rPr>
        <w:t>、门诊部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等科室，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</w:rPr>
        <w:t>临床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科室：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预防保健科、全科医疗、内科、外科、妇科专业、妇女保健科、儿科、儿童保健科、口腔科、急诊医学科、医学检验科、医学影像科、中医科、中西医结合科。</w:t>
      </w:r>
      <w:bookmarkEnd w:id="22"/>
      <w:bookmarkEnd w:id="23"/>
    </w:p>
    <w:p>
      <w:pPr>
        <w:pStyle w:val="6"/>
        <w:ind w:right="440"/>
        <w:jc w:val="center"/>
        <w:rPr>
          <w:rStyle w:val="28"/>
          <w:rFonts w:ascii="黑体" w:hAnsi="黑体" w:eastAsia="黑体"/>
          <w:b w:val="0"/>
          <w:bCs/>
          <w:sz w:val="36"/>
          <w:szCs w:val="36"/>
        </w:rPr>
      </w:pPr>
      <w:bookmarkStart w:id="28" w:name="_Toc15396602"/>
      <w:bookmarkStart w:id="29" w:name="_Toc9753"/>
      <w:bookmarkStart w:id="30" w:name="_Toc16649"/>
      <w:bookmarkStart w:id="31" w:name="_Toc15377204"/>
      <w:r>
        <w:rPr>
          <w:rFonts w:hint="eastAsia" w:ascii="黑体" w:hAnsi="黑体" w:eastAsia="黑体"/>
          <w:b w:val="0"/>
          <w:sz w:val="36"/>
          <w:szCs w:val="36"/>
        </w:rPr>
        <w:t xml:space="preserve">第二部分 </w:t>
      </w:r>
      <w:r>
        <w:rPr>
          <w:rFonts w:hint="eastAsia" w:ascii="黑体" w:hAnsi="黑体" w:eastAsia="黑体"/>
          <w:b w:val="0"/>
          <w:sz w:val="36"/>
          <w:szCs w:val="36"/>
          <w:lang w:val="en-US" w:eastAsia="zh-CN"/>
        </w:rPr>
        <w:t>剑阁县王河镇卫生院</w:t>
      </w:r>
      <w:r>
        <w:rPr>
          <w:rFonts w:hint="eastAsia" w:ascii="黑体" w:hAnsi="黑体" w:eastAsia="黑体"/>
          <w:b w:val="0"/>
          <w:sz w:val="36"/>
          <w:szCs w:val="36"/>
        </w:rPr>
        <w:t>2022年度</w:t>
      </w:r>
      <w:r>
        <w:rPr>
          <w:rStyle w:val="28"/>
          <w:rFonts w:hint="eastAsia" w:ascii="黑体" w:hAnsi="黑体" w:eastAsia="黑体"/>
          <w:b w:val="0"/>
          <w:bCs/>
          <w:sz w:val="36"/>
          <w:szCs w:val="36"/>
        </w:rPr>
        <w:t>单位决算情况说明</w:t>
      </w:r>
      <w:bookmarkEnd w:id="28"/>
      <w:bookmarkEnd w:id="29"/>
      <w:bookmarkEnd w:id="30"/>
      <w:bookmarkEnd w:id="31"/>
    </w:p>
    <w:p/>
    <w:p>
      <w:pPr>
        <w:pStyle w:val="27"/>
        <w:numPr>
          <w:ilvl w:val="0"/>
          <w:numId w:val="2"/>
        </w:numPr>
        <w:spacing w:line="600" w:lineRule="exact"/>
        <w:ind w:firstLineChars="0"/>
        <w:outlineLvl w:val="1"/>
        <w:rPr>
          <w:rStyle w:val="29"/>
          <w:rFonts w:ascii="黑体" w:hAnsi="黑体" w:eastAsia="黑体"/>
          <w:b w:val="0"/>
        </w:rPr>
      </w:pPr>
      <w:bookmarkStart w:id="32" w:name="_Toc13157"/>
      <w:bookmarkStart w:id="33" w:name="_Toc15377205"/>
      <w:bookmarkStart w:id="34" w:name="_Toc1463"/>
      <w:bookmarkStart w:id="35" w:name="_Toc15396603"/>
      <w:r>
        <w:rPr>
          <w:rFonts w:hint="eastAsia" w:ascii="黑体" w:hAnsi="黑体" w:eastAsia="黑体"/>
          <w:sz w:val="32"/>
          <w:szCs w:val="32"/>
        </w:rPr>
        <w:t>收</w:t>
      </w:r>
      <w:r>
        <w:rPr>
          <w:rStyle w:val="29"/>
          <w:rFonts w:hint="eastAsia" w:ascii="黑体" w:hAnsi="黑体" w:eastAsia="黑体"/>
          <w:b w:val="0"/>
        </w:rPr>
        <w:t>入支出决算总体情况说明</w:t>
      </w:r>
      <w:bookmarkEnd w:id="32"/>
      <w:bookmarkEnd w:id="33"/>
      <w:bookmarkEnd w:id="34"/>
      <w:bookmarkEnd w:id="35"/>
    </w:p>
    <w:p>
      <w:pPr>
        <w:spacing w:line="600" w:lineRule="exact"/>
        <w:ind w:firstLine="640" w:firstLineChars="20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2022年度收、支总计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1080.57万元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2021年本单位未单独填报决算，由系统统一填报部门决算，故无法对比。</w:t>
      </w:r>
    </w:p>
    <w:p>
      <w:pPr>
        <w:pStyle w:val="27"/>
        <w:numPr>
          <w:ilvl w:val="0"/>
          <w:numId w:val="2"/>
        </w:numPr>
        <w:spacing w:line="600" w:lineRule="exact"/>
        <w:ind w:firstLineChars="0"/>
        <w:outlineLvl w:val="1"/>
        <w:rPr>
          <w:rStyle w:val="29"/>
          <w:rFonts w:ascii="黑体" w:hAnsi="黑体" w:eastAsia="黑体"/>
          <w:b w:val="0"/>
        </w:rPr>
      </w:pPr>
      <w:bookmarkStart w:id="36" w:name="_Toc27693"/>
      <w:bookmarkStart w:id="37" w:name="_Toc14443"/>
      <w:bookmarkStart w:id="38" w:name="_Toc15396604"/>
      <w:bookmarkStart w:id="39" w:name="_Toc15377206"/>
      <w:r>
        <w:rPr>
          <w:rFonts w:hint="eastAsia" w:ascii="黑体" w:hAnsi="黑体" w:eastAsia="黑体"/>
          <w:sz w:val="32"/>
          <w:szCs w:val="32"/>
        </w:rPr>
        <w:t>收</w:t>
      </w:r>
      <w:r>
        <w:rPr>
          <w:rStyle w:val="29"/>
          <w:rFonts w:hint="eastAsia" w:ascii="黑体" w:hAnsi="黑体" w:eastAsia="黑体"/>
          <w:b w:val="0"/>
        </w:rPr>
        <w:t>入决算情况说明</w:t>
      </w:r>
      <w:bookmarkEnd w:id="36"/>
      <w:bookmarkEnd w:id="37"/>
      <w:bookmarkEnd w:id="38"/>
      <w:bookmarkEnd w:id="39"/>
    </w:p>
    <w:p>
      <w:pPr>
        <w:spacing w:line="600" w:lineRule="exact"/>
        <w:ind w:firstLine="640" w:firstLineChars="200"/>
        <w:outlineLvl w:val="1"/>
        <w:rPr>
          <w:rFonts w:ascii="仿宋" w:hAnsi="仿宋" w:eastAsia="仿宋"/>
          <w:sz w:val="32"/>
          <w:szCs w:val="32"/>
        </w:rPr>
      </w:pPr>
      <w:bookmarkStart w:id="40" w:name="_Toc14796"/>
      <w:bookmarkStart w:id="41" w:name="_Toc25338"/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22年本年收入合计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1080.57</w:t>
      </w:r>
      <w:r>
        <w:rPr>
          <w:rFonts w:hint="eastAsia" w:ascii="仿宋" w:hAnsi="仿宋" w:eastAsia="仿宋"/>
          <w:sz w:val="32"/>
          <w:szCs w:val="32"/>
        </w:rPr>
        <w:t>万元，其中：一般公共预算财政拨款收入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351.64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32.54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；政府性基金预算财政拨款收入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；国有资本经营预算财政拨款收入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；上级补助收入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；事业收入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709.81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65.69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；经营收入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；附属单位上缴收入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；其他收入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19.12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1.77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bookmarkEnd w:id="40"/>
      <w:bookmarkEnd w:id="41"/>
    </w:p>
    <w:p>
      <w:pPr>
        <w:pStyle w:val="4"/>
        <w:ind w:left="0" w:leftChars="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5080000" cy="3810000"/>
            <wp:effectExtent l="4445" t="4445" r="20955" b="14605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27"/>
        <w:numPr>
          <w:ilvl w:val="0"/>
          <w:numId w:val="2"/>
        </w:numPr>
        <w:spacing w:line="600" w:lineRule="exact"/>
        <w:ind w:firstLineChars="0"/>
        <w:outlineLvl w:val="1"/>
        <w:rPr>
          <w:rStyle w:val="29"/>
          <w:rFonts w:ascii="黑体" w:hAnsi="黑体" w:eastAsia="黑体"/>
          <w:b w:val="0"/>
        </w:rPr>
      </w:pPr>
      <w:bookmarkStart w:id="42" w:name="_Toc15396605"/>
      <w:bookmarkStart w:id="43" w:name="_Toc3228"/>
      <w:bookmarkStart w:id="44" w:name="_Toc15377207"/>
      <w:bookmarkStart w:id="45" w:name="_Toc23324"/>
      <w:r>
        <w:rPr>
          <w:rFonts w:hint="eastAsia" w:ascii="黑体" w:hAnsi="黑体" w:eastAsia="黑体"/>
          <w:sz w:val="32"/>
          <w:szCs w:val="32"/>
        </w:rPr>
        <w:t>支</w:t>
      </w:r>
      <w:r>
        <w:rPr>
          <w:rStyle w:val="29"/>
          <w:rFonts w:hint="eastAsia" w:ascii="黑体" w:hAnsi="黑体" w:eastAsia="黑体"/>
          <w:b w:val="0"/>
        </w:rPr>
        <w:t>出决算情况说明</w:t>
      </w:r>
      <w:bookmarkEnd w:id="42"/>
      <w:bookmarkEnd w:id="43"/>
      <w:bookmarkEnd w:id="44"/>
      <w:bookmarkEnd w:id="45"/>
    </w:p>
    <w:p>
      <w:pPr>
        <w:spacing w:line="600" w:lineRule="exact"/>
        <w:ind w:firstLine="640" w:firstLineChars="200"/>
        <w:outlineLvl w:val="1"/>
        <w:rPr>
          <w:rFonts w:hint="eastAsia"/>
        </w:rPr>
      </w:pPr>
      <w:bookmarkStart w:id="46" w:name="_Toc20788"/>
      <w:bookmarkStart w:id="47" w:name="_Toc28954"/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22年本年支出合计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1013.57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1013.57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100.00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；上缴上级支出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；经营支出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；对附属单位补助支出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bookmarkEnd w:id="46"/>
      <w:bookmarkEnd w:id="47"/>
    </w:p>
    <w:p>
      <w:pPr>
        <w:pStyle w:val="2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5080000" cy="2810510"/>
            <wp:effectExtent l="4445" t="4445" r="20955" b="23495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spacing w:line="600" w:lineRule="exact"/>
        <w:ind w:firstLine="640" w:firstLineChars="200"/>
        <w:outlineLvl w:val="1"/>
        <w:rPr>
          <w:rStyle w:val="29"/>
          <w:rFonts w:ascii="黑体" w:hAnsi="黑体" w:eastAsia="黑体"/>
          <w:b w:val="0"/>
        </w:rPr>
      </w:pPr>
      <w:bookmarkStart w:id="48" w:name="_Toc18082"/>
      <w:bookmarkStart w:id="49" w:name="_Toc14341"/>
      <w:bookmarkStart w:id="50" w:name="_Toc15396606"/>
      <w:bookmarkStart w:id="51" w:name="_Toc15377208"/>
      <w:r>
        <w:rPr>
          <w:rFonts w:hint="eastAsia" w:ascii="黑体" w:hAnsi="黑体" w:eastAsia="黑体"/>
          <w:sz w:val="32"/>
          <w:szCs w:val="32"/>
        </w:rPr>
        <w:t>四、财</w:t>
      </w:r>
      <w:r>
        <w:rPr>
          <w:rStyle w:val="29"/>
          <w:rFonts w:hint="eastAsia" w:ascii="黑体" w:hAnsi="黑体" w:eastAsia="黑体"/>
          <w:b w:val="0"/>
        </w:rPr>
        <w:t>政拨款收入支出决算总体情况说明</w:t>
      </w:r>
      <w:bookmarkEnd w:id="48"/>
      <w:bookmarkEnd w:id="49"/>
      <w:bookmarkEnd w:id="50"/>
      <w:bookmarkEnd w:id="51"/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22年财政拨款收、支总计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351.64万元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2021年本单位未单独填报决算，由系统统一填报部门决算，故无法对比。</w:t>
      </w:r>
    </w:p>
    <w:p>
      <w:pPr>
        <w:spacing w:line="600" w:lineRule="exact"/>
        <w:ind w:firstLine="640" w:firstLineChars="200"/>
        <w:outlineLvl w:val="1"/>
        <w:rPr>
          <w:rStyle w:val="29"/>
          <w:rFonts w:ascii="黑体" w:hAnsi="黑体" w:eastAsia="黑体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bookmarkStart w:id="52" w:name="_Toc17832"/>
      <w:bookmarkStart w:id="53" w:name="_Toc15396607"/>
      <w:bookmarkStart w:id="54" w:name="_Toc9344"/>
      <w:bookmarkStart w:id="55" w:name="_Toc15377209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Style w:val="29"/>
          <w:rFonts w:hint="eastAsia" w:ascii="黑体" w:hAnsi="黑体" w:eastAsia="黑体"/>
          <w:b w:val="0"/>
          <w:color w:val="000000" w:themeColor="text1"/>
          <w14:textFill>
            <w14:solidFill>
              <w14:schemeClr w14:val="tx1"/>
            </w14:solidFill>
          </w14:textFill>
        </w:rPr>
        <w:t>般公共预算财政拨款支出决算情况说明</w:t>
      </w:r>
      <w:bookmarkEnd w:id="52"/>
      <w:bookmarkEnd w:id="53"/>
      <w:bookmarkEnd w:id="54"/>
      <w:bookmarkEnd w:id="55"/>
    </w:p>
    <w:p>
      <w:pPr>
        <w:spacing w:line="600" w:lineRule="exact"/>
        <w:ind w:firstLine="642" w:firstLineChars="200"/>
        <w:outlineLvl w:val="2"/>
        <w:rPr>
          <w:rFonts w:ascii="仿宋" w:hAnsi="仿宋" w:eastAsia="仿宋"/>
          <w:b/>
          <w:sz w:val="32"/>
          <w:szCs w:val="32"/>
        </w:rPr>
      </w:pPr>
      <w:bookmarkStart w:id="56" w:name="_Toc15377210"/>
      <w:bookmarkStart w:id="57" w:name="_Toc28629"/>
      <w:bookmarkStart w:id="58" w:name="_Toc18313"/>
      <w:r>
        <w:rPr>
          <w:rFonts w:hint="eastAsia" w:ascii="仿宋" w:hAnsi="仿宋" w:eastAsia="仿宋"/>
          <w:b/>
          <w:sz w:val="32"/>
          <w:szCs w:val="32"/>
        </w:rPr>
        <w:t>（一）一般公共预算财政拨款支出决算总体情况</w:t>
      </w:r>
      <w:bookmarkEnd w:id="56"/>
      <w:bookmarkEnd w:id="57"/>
      <w:bookmarkEnd w:id="58"/>
    </w:p>
    <w:p>
      <w:pPr>
        <w:spacing w:line="600" w:lineRule="exact"/>
        <w:ind w:firstLine="640" w:firstLineChars="200"/>
        <w:outlineLvl w:val="2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351.64</w:t>
      </w:r>
      <w:r>
        <w:rPr>
          <w:rFonts w:hint="eastAsia" w:ascii="仿宋" w:hAnsi="仿宋" w:eastAsia="仿宋"/>
          <w:sz w:val="32"/>
          <w:szCs w:val="32"/>
        </w:rPr>
        <w:t>万元，占本年支出合计的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32.54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2021年本单位未单独填报决算，由系统统一填报部门决算，故无法对比。</w:t>
      </w:r>
      <w:bookmarkStart w:id="59" w:name="_Toc27642"/>
      <w:bookmarkStart w:id="60" w:name="_Toc24692"/>
      <w:bookmarkStart w:id="61" w:name="_Toc15377211"/>
    </w:p>
    <w:p>
      <w:pPr>
        <w:spacing w:line="600" w:lineRule="exact"/>
        <w:ind w:firstLine="642" w:firstLineChars="200"/>
        <w:outlineLvl w:val="2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（二）一般公共预算财政拨款支出决算结构情况</w:t>
      </w:r>
      <w:bookmarkEnd w:id="59"/>
      <w:bookmarkEnd w:id="60"/>
      <w:bookmarkEnd w:id="61"/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351.64</w:t>
      </w:r>
      <w:r>
        <w:rPr>
          <w:rFonts w:hint="eastAsia" w:ascii="仿宋" w:hAnsi="仿宋" w:eastAsia="仿宋"/>
          <w:sz w:val="32"/>
          <w:szCs w:val="32"/>
        </w:rPr>
        <w:t>万元，主要用于以下方面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b/>
          <w:sz w:val="32"/>
          <w:szCs w:val="32"/>
        </w:rPr>
        <w:t>社会保障和就业</w:t>
      </w:r>
      <w:r>
        <w:rPr>
          <w:rFonts w:hint="eastAsia" w:ascii="仿宋" w:hAnsi="仿宋" w:eastAsia="仿宋"/>
          <w:b/>
          <w:bCs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24.09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6.85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326.99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93.14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bCs/>
          <w:sz w:val="32"/>
          <w:szCs w:val="32"/>
        </w:rPr>
        <w:t>住房保障支出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0.56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0.01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5080000" cy="3215005"/>
            <wp:effectExtent l="4445" t="4445" r="20955" b="1905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spacing w:line="600" w:lineRule="exact"/>
        <w:ind w:firstLine="642" w:firstLineChars="200"/>
        <w:outlineLvl w:val="2"/>
        <w:rPr>
          <w:rFonts w:ascii="仿宋" w:hAnsi="仿宋" w:eastAsia="仿宋"/>
          <w:b/>
          <w:sz w:val="32"/>
          <w:szCs w:val="32"/>
        </w:rPr>
      </w:pPr>
      <w:bookmarkStart w:id="62" w:name="_Toc7501"/>
      <w:bookmarkStart w:id="63" w:name="_Toc30264"/>
      <w:bookmarkStart w:id="64" w:name="_Toc15377212"/>
      <w:r>
        <w:rPr>
          <w:rFonts w:hint="eastAsia" w:ascii="仿宋" w:hAnsi="仿宋" w:eastAsia="仿宋"/>
          <w:b/>
          <w:sz w:val="32"/>
          <w:szCs w:val="32"/>
        </w:rPr>
        <w:t>（三）一般公共预算财政拨款支出决算具体情况</w:t>
      </w:r>
      <w:bookmarkEnd w:id="62"/>
      <w:bookmarkEnd w:id="63"/>
      <w:bookmarkEnd w:id="64"/>
    </w:p>
    <w:p>
      <w:pPr>
        <w:spacing w:line="600" w:lineRule="exact"/>
        <w:ind w:firstLine="642" w:firstLineChars="200"/>
        <w:outlineLvl w:val="2"/>
        <w:rPr>
          <w:rFonts w:ascii="仿宋" w:hAnsi="仿宋" w:eastAsia="仿宋"/>
          <w:sz w:val="32"/>
          <w:szCs w:val="32"/>
        </w:rPr>
      </w:pPr>
      <w:bookmarkStart w:id="65" w:name="_Toc20331"/>
      <w:bookmarkStart w:id="66" w:name="_Toc15378460"/>
      <w:bookmarkStart w:id="67" w:name="_Toc26343"/>
      <w:bookmarkStart w:id="68" w:name="_Toc15377213"/>
      <w:bookmarkStart w:id="69" w:name="_Toc15377444"/>
      <w:r>
        <w:rPr>
          <w:rFonts w:hint="eastAsia" w:ascii="仿宋" w:hAnsi="仿宋" w:eastAsia="仿宋"/>
          <w:b/>
          <w:sz w:val="32"/>
          <w:szCs w:val="32"/>
        </w:rPr>
        <w:t>2022年一般公共预算支出决算数为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351.64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Style w:val="18"/>
          <w:rFonts w:hint="eastAsia" w:ascii="仿宋" w:hAnsi="仿宋" w:eastAsia="仿宋"/>
          <w:bCs/>
          <w:sz w:val="32"/>
          <w:szCs w:val="32"/>
        </w:rPr>
        <w:t>完成预算</w:t>
      </w:r>
      <w:r>
        <w:rPr>
          <w:rStyle w:val="18"/>
          <w:rFonts w:hint="eastAsia" w:ascii="仿宋" w:hAnsi="仿宋" w:eastAsia="仿宋"/>
          <w:bCs/>
          <w:sz w:val="32"/>
          <w:szCs w:val="32"/>
          <w:lang w:val="en-US" w:eastAsia="zh-CN"/>
        </w:rPr>
        <w:t>100</w:t>
      </w:r>
      <w:r>
        <w:rPr>
          <w:rStyle w:val="18"/>
          <w:rFonts w:ascii="仿宋" w:hAnsi="仿宋" w:eastAsia="仿宋"/>
          <w:bCs/>
          <w:sz w:val="32"/>
          <w:szCs w:val="32"/>
        </w:rPr>
        <w:t>%</w:t>
      </w:r>
      <w:r>
        <w:rPr>
          <w:rStyle w:val="18"/>
          <w:rFonts w:hint="eastAsia" w:ascii="仿宋" w:hAnsi="仿宋" w:eastAsia="仿宋"/>
          <w:bCs/>
          <w:sz w:val="32"/>
          <w:szCs w:val="32"/>
        </w:rPr>
        <w:t>。其中：</w:t>
      </w:r>
      <w:bookmarkEnd w:id="65"/>
      <w:bookmarkEnd w:id="66"/>
      <w:bookmarkEnd w:id="67"/>
      <w:bookmarkEnd w:id="68"/>
      <w:bookmarkEnd w:id="69"/>
    </w:p>
    <w:p>
      <w:pPr>
        <w:spacing w:line="600" w:lineRule="exact"/>
        <w:ind w:firstLine="642" w:firstLineChars="200"/>
        <w:rPr>
          <w:rFonts w:ascii="仿宋" w:hAnsi="仿宋" w:eastAsia="仿宋"/>
          <w:b/>
          <w:sz w:val="32"/>
          <w:szCs w:val="32"/>
        </w:rPr>
      </w:pPr>
      <w:r>
        <w:rPr>
          <w:rStyle w:val="18"/>
          <w:rFonts w:hint="eastAsia" w:ascii="仿宋" w:hAnsi="仿宋" w:eastAsia="仿宋"/>
          <w:b/>
          <w:bCs/>
          <w:sz w:val="32"/>
          <w:szCs w:val="32"/>
          <w:lang w:val="en-US" w:eastAsia="zh-CN"/>
        </w:rPr>
        <w:t>1</w:t>
      </w:r>
      <w:r>
        <w:rPr>
          <w:rStyle w:val="18"/>
          <w:rFonts w:ascii="仿宋" w:hAnsi="仿宋" w:eastAsia="仿宋"/>
          <w:b/>
          <w:bCs/>
          <w:sz w:val="32"/>
          <w:szCs w:val="32"/>
        </w:rPr>
        <w:t>.</w:t>
      </w:r>
      <w:r>
        <w:rPr>
          <w:rStyle w:val="18"/>
          <w:rFonts w:hint="eastAsia" w:ascii="仿宋" w:hAnsi="仿宋" w:eastAsia="仿宋"/>
          <w:b/>
          <w:bCs/>
          <w:sz w:val="32"/>
          <w:szCs w:val="32"/>
        </w:rPr>
        <w:t>社会保障和就业（类）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行政事业单位离退休</w:t>
      </w:r>
      <w:r>
        <w:rPr>
          <w:rStyle w:val="18"/>
          <w:rFonts w:hint="eastAsia" w:ascii="仿宋" w:hAnsi="仿宋" w:eastAsia="仿宋"/>
          <w:b/>
          <w:bCs/>
          <w:sz w:val="32"/>
          <w:szCs w:val="32"/>
        </w:rPr>
        <w:t>（款）机关事业单位基本养老保险缴费（项）</w:t>
      </w:r>
      <w:r>
        <w:rPr>
          <w:rStyle w:val="18"/>
          <w:rFonts w:ascii="仿宋" w:hAnsi="仿宋" w:eastAsia="仿宋"/>
          <w:b/>
          <w:bCs/>
          <w:sz w:val="32"/>
          <w:szCs w:val="32"/>
        </w:rPr>
        <w:t>: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 xml:space="preserve"> 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24.09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spacing w:line="600" w:lineRule="exact"/>
        <w:ind w:firstLine="642" w:firstLineChars="200"/>
        <w:rPr>
          <w:rStyle w:val="18"/>
          <w:rFonts w:hint="eastAsia" w:ascii="仿宋" w:hAnsi="仿宋" w:eastAsia="仿宋"/>
          <w:b w:val="0"/>
          <w:bCs/>
          <w:sz w:val="32"/>
          <w:szCs w:val="32"/>
        </w:rPr>
      </w:pPr>
      <w:r>
        <w:rPr>
          <w:rStyle w:val="18"/>
          <w:rFonts w:hint="eastAsia" w:ascii="仿宋" w:hAnsi="仿宋" w:eastAsia="仿宋"/>
          <w:b/>
          <w:bCs/>
          <w:sz w:val="32"/>
          <w:szCs w:val="32"/>
          <w:lang w:val="en-US" w:eastAsia="zh-CN"/>
        </w:rPr>
        <w:t>2</w:t>
      </w:r>
      <w:r>
        <w:rPr>
          <w:rStyle w:val="18"/>
          <w:rFonts w:ascii="仿宋" w:hAnsi="仿宋" w:eastAsia="仿宋"/>
          <w:b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</w:t>
      </w:r>
      <w:r>
        <w:rPr>
          <w:rStyle w:val="18"/>
          <w:rFonts w:hint="eastAsia" w:ascii="仿宋" w:hAnsi="仿宋" w:eastAsia="仿宋"/>
          <w:b/>
          <w:bCs/>
          <w:sz w:val="32"/>
          <w:szCs w:val="32"/>
        </w:rPr>
        <w:t>（类）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基层医疗机构</w:t>
      </w:r>
      <w:r>
        <w:rPr>
          <w:rStyle w:val="18"/>
          <w:rFonts w:hint="eastAsia" w:ascii="仿宋" w:hAnsi="仿宋" w:eastAsia="仿宋"/>
          <w:b/>
          <w:bCs/>
          <w:sz w:val="32"/>
          <w:szCs w:val="32"/>
        </w:rPr>
        <w:t>（款）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乡镇卫生院</w:t>
      </w:r>
      <w:r>
        <w:rPr>
          <w:rStyle w:val="18"/>
          <w:rFonts w:hint="eastAsia" w:ascii="仿宋" w:hAnsi="仿宋" w:eastAsia="仿宋"/>
          <w:b/>
          <w:bCs/>
          <w:sz w:val="32"/>
          <w:szCs w:val="32"/>
        </w:rPr>
        <w:t>（项）</w:t>
      </w:r>
      <w:r>
        <w:rPr>
          <w:rStyle w:val="18"/>
          <w:rFonts w:ascii="仿宋" w:hAnsi="仿宋" w:eastAsia="仿宋"/>
          <w:b/>
          <w:bCs/>
          <w:sz w:val="32"/>
          <w:szCs w:val="32"/>
        </w:rPr>
        <w:t>: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213.52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pStyle w:val="2"/>
        <w:ind w:left="0" w:leftChars="0" w:firstLine="642" w:firstLineChars="200"/>
        <w:rPr>
          <w:rStyle w:val="18"/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Style w:val="18"/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住房保障</w:t>
      </w:r>
      <w:r>
        <w:rPr>
          <w:rStyle w:val="18"/>
          <w:rFonts w:hint="eastAsia" w:ascii="仿宋" w:hAnsi="仿宋" w:eastAsia="仿宋"/>
          <w:b/>
          <w:bCs w:val="0"/>
          <w:sz w:val="32"/>
          <w:szCs w:val="32"/>
        </w:rPr>
        <w:t>（类）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住房改革</w:t>
      </w:r>
      <w:r>
        <w:rPr>
          <w:rStyle w:val="18"/>
          <w:rFonts w:hint="eastAsia" w:ascii="仿宋" w:hAnsi="仿宋" w:eastAsia="仿宋"/>
          <w:b/>
          <w:bCs w:val="0"/>
          <w:sz w:val="32"/>
          <w:szCs w:val="32"/>
        </w:rPr>
        <w:t>（款）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住房公积金</w:t>
      </w:r>
      <w:r>
        <w:rPr>
          <w:rStyle w:val="18"/>
          <w:rFonts w:hint="eastAsia" w:ascii="仿宋" w:hAnsi="仿宋" w:eastAsia="仿宋"/>
          <w:b/>
          <w:bCs w:val="0"/>
          <w:sz w:val="32"/>
          <w:szCs w:val="32"/>
        </w:rPr>
        <w:t>（项）</w:t>
      </w:r>
      <w:r>
        <w:rPr>
          <w:rStyle w:val="18"/>
          <w:rFonts w:ascii="仿宋" w:hAnsi="仿宋" w:eastAsia="仿宋"/>
          <w:b/>
          <w:bCs w:val="0"/>
          <w:sz w:val="32"/>
          <w:szCs w:val="32"/>
        </w:rPr>
        <w:t>: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0.57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eastAsia="zh-CN"/>
        </w:rPr>
        <w:t>。</w:t>
      </w:r>
    </w:p>
    <w:p>
      <w:pPr>
        <w:pStyle w:val="4"/>
        <w:ind w:firstLine="640" w:firstLineChars="200"/>
        <w:rPr>
          <w:rStyle w:val="18"/>
          <w:rFonts w:hint="eastAsia" w:ascii="仿宋" w:hAnsi="仿宋" w:eastAsia="仿宋"/>
          <w:b w:val="0"/>
          <w:bCs/>
          <w:sz w:val="32"/>
          <w:szCs w:val="32"/>
        </w:rPr>
      </w:pP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</w:t>
      </w:r>
      <w:r>
        <w:rPr>
          <w:rStyle w:val="18"/>
          <w:rFonts w:hint="eastAsia" w:ascii="仿宋" w:hAnsi="仿宋" w:eastAsia="仿宋"/>
          <w:b/>
          <w:bCs/>
          <w:sz w:val="32"/>
          <w:szCs w:val="32"/>
        </w:rPr>
        <w:t>（类）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基层医疗机构</w:t>
      </w:r>
      <w:r>
        <w:rPr>
          <w:rStyle w:val="18"/>
          <w:rFonts w:hint="eastAsia" w:ascii="仿宋" w:hAnsi="仿宋" w:eastAsia="仿宋"/>
          <w:b/>
          <w:bCs/>
          <w:sz w:val="32"/>
          <w:szCs w:val="32"/>
        </w:rPr>
        <w:t>（款）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其他基层医疗卫生机构支出</w:t>
      </w:r>
      <w:r>
        <w:rPr>
          <w:rStyle w:val="18"/>
          <w:rFonts w:hint="eastAsia" w:ascii="仿宋" w:hAnsi="仿宋" w:eastAsia="仿宋"/>
          <w:b/>
          <w:bCs/>
          <w:sz w:val="32"/>
          <w:szCs w:val="32"/>
        </w:rPr>
        <w:t>（项）</w:t>
      </w:r>
      <w:r>
        <w:rPr>
          <w:rStyle w:val="18"/>
          <w:rFonts w:ascii="仿宋" w:hAnsi="仿宋" w:eastAsia="仿宋"/>
          <w:b/>
          <w:bCs/>
          <w:sz w:val="32"/>
          <w:szCs w:val="32"/>
        </w:rPr>
        <w:t>: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20.58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pStyle w:val="4"/>
        <w:ind w:firstLine="640" w:firstLineChars="200"/>
        <w:rPr>
          <w:rStyle w:val="18"/>
          <w:rFonts w:hint="eastAsia" w:ascii="仿宋" w:hAnsi="仿宋" w:eastAsia="仿宋"/>
          <w:b w:val="0"/>
          <w:bCs/>
          <w:sz w:val="32"/>
          <w:szCs w:val="32"/>
        </w:rPr>
      </w:pP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</w:t>
      </w:r>
      <w:r>
        <w:rPr>
          <w:rStyle w:val="18"/>
          <w:rFonts w:hint="eastAsia" w:ascii="仿宋" w:hAnsi="仿宋" w:eastAsia="仿宋"/>
          <w:b/>
          <w:bCs/>
          <w:sz w:val="32"/>
          <w:szCs w:val="32"/>
        </w:rPr>
        <w:t>（类）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公共卫生</w:t>
      </w:r>
      <w:r>
        <w:rPr>
          <w:rStyle w:val="18"/>
          <w:rFonts w:hint="eastAsia" w:ascii="仿宋" w:hAnsi="仿宋" w:eastAsia="仿宋"/>
          <w:b/>
          <w:bCs/>
          <w:sz w:val="32"/>
          <w:szCs w:val="32"/>
        </w:rPr>
        <w:t>（款）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基本公共卫生服务</w:t>
      </w:r>
      <w:r>
        <w:rPr>
          <w:rStyle w:val="18"/>
          <w:rFonts w:hint="eastAsia" w:ascii="仿宋" w:hAnsi="仿宋" w:eastAsia="仿宋"/>
          <w:b/>
          <w:bCs/>
          <w:sz w:val="32"/>
          <w:szCs w:val="32"/>
        </w:rPr>
        <w:t>（项）</w:t>
      </w:r>
      <w:r>
        <w:rPr>
          <w:rStyle w:val="18"/>
          <w:rFonts w:ascii="仿宋" w:hAnsi="仿宋" w:eastAsia="仿宋"/>
          <w:b/>
          <w:bCs/>
          <w:sz w:val="32"/>
          <w:szCs w:val="32"/>
        </w:rPr>
        <w:t>: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80.84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Style w:val="18"/>
          <w:rFonts w:ascii="仿宋" w:hAnsi="仿宋" w:eastAsia="仿宋"/>
          <w:b w:val="0"/>
          <w:bCs/>
          <w:sz w:val="32"/>
          <w:szCs w:val="32"/>
        </w:rPr>
      </w:pP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行政事业单位医疗</w:t>
      </w:r>
      <w:r>
        <w:rPr>
          <w:rStyle w:val="18"/>
          <w:rFonts w:hint="eastAsia" w:ascii="仿宋" w:hAnsi="仿宋" w:eastAsia="仿宋"/>
          <w:b/>
          <w:bCs/>
          <w:sz w:val="32"/>
          <w:szCs w:val="32"/>
        </w:rPr>
        <w:t>（类）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事业单位医疗</w:t>
      </w:r>
      <w:r>
        <w:rPr>
          <w:rStyle w:val="18"/>
          <w:rFonts w:hint="eastAsia" w:ascii="仿宋" w:hAnsi="仿宋" w:eastAsia="仿宋"/>
          <w:b/>
          <w:bCs/>
          <w:sz w:val="32"/>
          <w:szCs w:val="32"/>
        </w:rPr>
        <w:t>（款）事业单位医疗（项）</w:t>
      </w:r>
      <w:r>
        <w:rPr>
          <w:rStyle w:val="18"/>
          <w:rFonts w:ascii="仿宋" w:hAnsi="仿宋" w:eastAsia="仿宋"/>
          <w:b/>
          <w:bCs/>
          <w:sz w:val="32"/>
          <w:szCs w:val="32"/>
        </w:rPr>
        <w:t>: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12.04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%</w:t>
      </w:r>
    </w:p>
    <w:p>
      <w:pPr>
        <w:tabs>
          <w:tab w:val="right" w:pos="8306"/>
        </w:tabs>
        <w:spacing w:line="600" w:lineRule="exact"/>
        <w:ind w:firstLine="640"/>
        <w:outlineLvl w:val="1"/>
        <w:rPr>
          <w:rStyle w:val="29"/>
        </w:rPr>
      </w:pPr>
      <w:bookmarkStart w:id="70" w:name="_Toc1240"/>
      <w:bookmarkStart w:id="71" w:name="_Toc16449"/>
      <w:bookmarkStart w:id="72" w:name="_Toc15377214"/>
      <w:bookmarkStart w:id="73" w:name="_Toc15396608"/>
      <w:r>
        <w:rPr>
          <w:rFonts w:hint="eastAsia" w:ascii="黑体" w:eastAsia="黑体"/>
          <w:sz w:val="32"/>
          <w:szCs w:val="32"/>
        </w:rPr>
        <w:t>六</w:t>
      </w:r>
      <w:r>
        <w:rPr>
          <w:rFonts w:hint="eastAsia" w:ascii="黑体" w:eastAsia="黑体"/>
          <w:b/>
          <w:sz w:val="32"/>
          <w:szCs w:val="32"/>
        </w:rPr>
        <w:t>、</w:t>
      </w: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Style w:val="29"/>
          <w:rFonts w:hint="eastAsia" w:ascii="黑体" w:hAnsi="黑体" w:eastAsia="黑体"/>
          <w:b w:val="0"/>
        </w:rPr>
        <w:t>般公共预算财政拨款基本支出决算情况说明</w:t>
      </w:r>
      <w:bookmarkEnd w:id="70"/>
      <w:bookmarkEnd w:id="71"/>
      <w:bookmarkEnd w:id="72"/>
      <w:bookmarkEnd w:id="73"/>
      <w:r>
        <w:rPr>
          <w:rStyle w:val="29"/>
          <w:rFonts w:ascii="黑体" w:hAnsi="黑体" w:eastAsia="黑体"/>
          <w:b w:val="0"/>
        </w:rPr>
        <w:tab/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351.64</w:t>
      </w:r>
      <w:r>
        <w:rPr>
          <w:rFonts w:hint="eastAsia" w:ascii="仿宋" w:hAnsi="仿宋" w:eastAsia="仿宋"/>
          <w:sz w:val="32"/>
          <w:szCs w:val="32"/>
        </w:rPr>
        <w:t>万元，其中：</w:t>
      </w:r>
    </w:p>
    <w:p>
      <w:pPr>
        <w:spacing w:line="600" w:lineRule="exact"/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242.27万元，</w:t>
      </w:r>
      <w:r>
        <w:rPr>
          <w:rFonts w:hint="eastAsia" w:ascii="仿宋" w:hAnsi="仿宋" w:eastAsia="仿宋"/>
          <w:sz w:val="32"/>
          <w:szCs w:val="32"/>
        </w:rPr>
        <w:t>主要包括：基本工资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津贴补贴、绩效工资、机关事业单位基本养老保险缴费、职工基本医疗保险缴费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其他社会保障缴费、其他工资福利支出、生活补助、住房公积金、其他对个人和家庭的补助支出等。</w:t>
      </w:r>
    </w:p>
    <w:p>
      <w:pPr>
        <w:spacing w:line="600" w:lineRule="exact"/>
        <w:ind w:firstLine="64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109.37万元，</w:t>
      </w:r>
      <w:r>
        <w:rPr>
          <w:rFonts w:hint="eastAsia" w:ascii="仿宋" w:hAnsi="仿宋" w:eastAsia="仿宋"/>
          <w:sz w:val="32"/>
          <w:szCs w:val="32"/>
        </w:rPr>
        <w:t>主要包括：办公费、印刷费、水费、邮电费、差旅费。</w:t>
      </w:r>
    </w:p>
    <w:p>
      <w:pPr>
        <w:spacing w:line="600" w:lineRule="exact"/>
        <w:ind w:firstLine="640"/>
        <w:outlineLvl w:val="1"/>
        <w:rPr>
          <w:rStyle w:val="29"/>
          <w:rFonts w:ascii="黑体" w:hAnsi="黑体" w:eastAsia="黑体"/>
          <w:b w:val="0"/>
        </w:rPr>
      </w:pPr>
      <w:bookmarkStart w:id="74" w:name="_Toc15377215"/>
      <w:bookmarkStart w:id="75" w:name="_Toc2355"/>
      <w:bookmarkStart w:id="76" w:name="_Toc15396609"/>
      <w:bookmarkStart w:id="77" w:name="_Toc3044"/>
      <w:r>
        <w:rPr>
          <w:rFonts w:hint="eastAsia" w:ascii="黑体" w:eastAsia="黑体"/>
          <w:sz w:val="32"/>
          <w:szCs w:val="32"/>
        </w:rPr>
        <w:t>七、</w:t>
      </w:r>
      <w:r>
        <w:rPr>
          <w:rStyle w:val="29"/>
          <w:rFonts w:hint="eastAsia" w:ascii="黑体" w:hAnsi="黑体" w:eastAsia="黑体"/>
          <w:b w:val="0"/>
        </w:rPr>
        <w:t>财政拨款</w:t>
      </w:r>
      <w:r>
        <w:rPr>
          <w:rStyle w:val="29"/>
          <w:rFonts w:hint="eastAsia" w:ascii="黑体" w:hAnsi="黑体" w:eastAsia="黑体"/>
        </w:rPr>
        <w:t>“</w:t>
      </w:r>
      <w:r>
        <w:rPr>
          <w:rStyle w:val="29"/>
          <w:rFonts w:hint="eastAsia" w:ascii="黑体" w:hAnsi="黑体" w:eastAsia="黑体"/>
          <w:b w:val="0"/>
        </w:rPr>
        <w:t>三公”经费支出决算情况说明</w:t>
      </w:r>
      <w:bookmarkEnd w:id="74"/>
      <w:bookmarkEnd w:id="75"/>
      <w:bookmarkEnd w:id="76"/>
      <w:bookmarkEnd w:id="77"/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sz w:val="32"/>
          <w:szCs w:val="32"/>
        </w:rPr>
      </w:pPr>
      <w:bookmarkStart w:id="78" w:name="_Toc15377216"/>
      <w:bookmarkStart w:id="79" w:name="_Toc13899"/>
      <w:bookmarkStart w:id="80" w:name="_Toc21561"/>
      <w:r>
        <w:rPr>
          <w:rFonts w:hint="eastAsia" w:ascii="仿宋" w:hAnsi="仿宋" w:eastAsia="仿宋"/>
          <w:b/>
          <w:sz w:val="32"/>
          <w:szCs w:val="32"/>
        </w:rPr>
        <w:t>（一）“三公”经费财政拨款支出决算总体情况说明</w:t>
      </w:r>
      <w:bookmarkEnd w:id="78"/>
      <w:bookmarkEnd w:id="79"/>
      <w:bookmarkEnd w:id="80"/>
    </w:p>
    <w:p>
      <w:pPr>
        <w:spacing w:line="600" w:lineRule="exact"/>
        <w:ind w:firstLine="64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22年“三公”经费财政拨款支出决算为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万元，完成预算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201年本单位未单独填报决算，由系统统一填报部门决算，故无法对比。</w:t>
      </w:r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sz w:val="32"/>
          <w:szCs w:val="32"/>
        </w:rPr>
      </w:pPr>
      <w:bookmarkStart w:id="81" w:name="_Toc15377217"/>
      <w:bookmarkStart w:id="82" w:name="_Toc10350"/>
      <w:bookmarkStart w:id="83" w:name="_Toc17020"/>
      <w:r>
        <w:rPr>
          <w:rFonts w:hint="eastAsia" w:ascii="仿宋" w:hAnsi="仿宋" w:eastAsia="仿宋"/>
          <w:b/>
          <w:sz w:val="32"/>
          <w:szCs w:val="32"/>
        </w:rPr>
        <w:t>（二）“三公”经费财政拨款支出决算具体情况说明</w:t>
      </w:r>
      <w:bookmarkEnd w:id="81"/>
      <w:bookmarkEnd w:id="82"/>
      <w:bookmarkEnd w:id="83"/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22年“三公”经费财政拨款支出决算中，因公出国（境）费支出决算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；公务用车购置及运行维护费支出决算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；公务接待费支出决算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。具体情况如下：</w:t>
      </w:r>
    </w:p>
    <w:p>
      <w:pPr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b/>
          <w:sz w:val="32"/>
          <w:szCs w:val="32"/>
        </w:rPr>
        <w:t>因公出国（境）经费支出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完成预算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0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全年安排因公出国（境）团组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次，出国（境）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人。因公出国（境）支出决算比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21年增加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万元，增长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b/>
          <w:sz w:val="32"/>
          <w:szCs w:val="32"/>
        </w:rPr>
        <w:t>公务用车购置及运行维护费支出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万元,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完成预算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0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公务用车购置及运行维护费支出决算比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21年增加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00</w:t>
      </w:r>
      <w:r>
        <w:rPr>
          <w:rFonts w:hint="eastAsia" w:ascii="仿宋_GB2312" w:eastAsia="仿宋_GB2312"/>
          <w:sz w:val="32"/>
          <w:szCs w:val="32"/>
        </w:rPr>
        <w:t>万元，增长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其中：</w:t>
      </w:r>
      <w:r>
        <w:rPr>
          <w:rFonts w:hint="eastAsia" w:ascii="仿宋_GB2312" w:eastAsia="仿宋_GB2312"/>
          <w:b/>
          <w:sz w:val="32"/>
          <w:szCs w:val="32"/>
        </w:rPr>
        <w:t>公务用车购置支出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万元。全年按规定更新购置公务用车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辆，其中：轿车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万元，越野车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万元，载客汽车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万元，主要用于…。截至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月底，单位共有公务用车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辆，其中：轿车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辆、越野车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辆、载客汽车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辆。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公务用车运行维护费支出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3.</w:t>
      </w:r>
      <w:r>
        <w:rPr>
          <w:rFonts w:hint="eastAsia" w:ascii="仿宋_GB2312" w:eastAsia="仿宋_GB2312"/>
          <w:b/>
          <w:sz w:val="32"/>
          <w:szCs w:val="32"/>
        </w:rPr>
        <w:t>公务接待费支出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完成预算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8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8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公务接待费支出决算比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21年</w:t>
      </w:r>
      <w:r>
        <w:rPr>
          <w:rFonts w:hint="eastAsia" w:ascii="仿宋_GB2312" w:eastAsia="仿宋_GB2312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国内公务接待支出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万元，主要用于开展业务活动开支的住宿费、用餐费等。国内公务接待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批次，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人次（不包括陪同人员），共计支出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/>
        <w:outlineLvl w:val="1"/>
        <w:rPr>
          <w:rFonts w:hint="eastAsia" w:ascii="仿宋_GB2312" w:eastAsia="仿宋_GB2312"/>
          <w:sz w:val="32"/>
          <w:szCs w:val="32"/>
        </w:rPr>
      </w:pPr>
      <w:bookmarkStart w:id="84" w:name="_Toc15396610"/>
      <w:bookmarkStart w:id="85" w:name="_Toc22374"/>
      <w:bookmarkStart w:id="86" w:name="_Toc23983"/>
      <w:bookmarkStart w:id="87" w:name="_Toc15377218"/>
      <w:r>
        <w:rPr>
          <w:rFonts w:hint="eastAsia" w:ascii="仿宋" w:hAnsi="仿宋" w:eastAsia="仿宋"/>
          <w:b/>
          <w:sz w:val="32"/>
          <w:szCs w:val="32"/>
        </w:rPr>
        <w:t>外事接待支出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万元。外事接待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批次，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人次（不包括陪同人员），共计支出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600" w:lineRule="exact"/>
        <w:ind w:firstLine="640"/>
        <w:outlineLvl w:val="1"/>
        <w:rPr>
          <w:rStyle w:val="29"/>
          <w:rFonts w:ascii="黑体" w:hAnsi="黑体" w:eastAsia="黑体"/>
        </w:rPr>
      </w:pPr>
      <w:r>
        <w:rPr>
          <w:rFonts w:hint="eastAsia" w:ascii="黑体" w:eastAsia="黑体"/>
          <w:sz w:val="32"/>
          <w:szCs w:val="32"/>
        </w:rPr>
        <w:t>八、</w:t>
      </w:r>
      <w:r>
        <w:rPr>
          <w:rStyle w:val="29"/>
          <w:rFonts w:hint="eastAsia" w:ascii="黑体" w:hAnsi="黑体" w:eastAsia="黑体"/>
          <w:b w:val="0"/>
        </w:rPr>
        <w:t>政府性基金预算支出决算情况说明</w:t>
      </w:r>
      <w:bookmarkEnd w:id="84"/>
      <w:bookmarkEnd w:id="85"/>
      <w:bookmarkEnd w:id="86"/>
      <w:bookmarkEnd w:id="87"/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22年政府性基金预算财政拨款支出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numPr>
          <w:ilvl w:val="0"/>
          <w:numId w:val="3"/>
        </w:numPr>
        <w:spacing w:line="600" w:lineRule="exact"/>
        <w:ind w:firstLine="640"/>
        <w:outlineLvl w:val="1"/>
        <w:rPr>
          <w:rStyle w:val="29"/>
          <w:rFonts w:ascii="黑体" w:hAnsi="黑体" w:eastAsia="黑体"/>
          <w:b w:val="0"/>
        </w:rPr>
      </w:pPr>
      <w:bookmarkStart w:id="88" w:name="_Toc15377219"/>
      <w:bookmarkStart w:id="89" w:name="_Toc7731"/>
      <w:bookmarkStart w:id="90" w:name="_Toc15396611"/>
      <w:bookmarkStart w:id="91" w:name="_Toc28201"/>
      <w:r>
        <w:rPr>
          <w:rStyle w:val="29"/>
          <w:rFonts w:hint="eastAsia" w:ascii="黑体" w:hAnsi="黑体" w:eastAsia="黑体"/>
          <w:b w:val="0"/>
        </w:rPr>
        <w:t>国有资本经营预算支出决算情况说明</w:t>
      </w:r>
      <w:bookmarkEnd w:id="88"/>
      <w:bookmarkEnd w:id="89"/>
      <w:bookmarkEnd w:id="90"/>
      <w:bookmarkEnd w:id="91"/>
    </w:p>
    <w:p>
      <w:pPr>
        <w:spacing w:line="600" w:lineRule="exact"/>
        <w:ind w:firstLine="64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22年国有资本经营预算财政拨款支出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numPr>
          <w:ilvl w:val="0"/>
          <w:numId w:val="3"/>
        </w:numPr>
        <w:spacing w:line="600" w:lineRule="exact"/>
        <w:ind w:firstLine="640"/>
        <w:outlineLvl w:val="1"/>
        <w:rPr>
          <w:rStyle w:val="29"/>
          <w:rFonts w:ascii="黑体" w:hAnsi="黑体" w:eastAsia="黑体"/>
          <w:b w:val="0"/>
        </w:rPr>
      </w:pPr>
      <w:bookmarkStart w:id="92" w:name="_Toc15396612"/>
      <w:bookmarkStart w:id="93" w:name="_Toc29178"/>
      <w:bookmarkStart w:id="94" w:name="_Toc2958"/>
      <w:bookmarkStart w:id="95" w:name="_Toc15377221"/>
      <w:r>
        <w:rPr>
          <w:rStyle w:val="29"/>
          <w:rFonts w:hint="eastAsia" w:ascii="黑体" w:hAnsi="黑体" w:eastAsia="黑体"/>
          <w:b w:val="0"/>
        </w:rPr>
        <w:t>其他重要事项的情况说明</w:t>
      </w:r>
      <w:bookmarkEnd w:id="92"/>
      <w:bookmarkEnd w:id="93"/>
      <w:bookmarkEnd w:id="94"/>
      <w:bookmarkEnd w:id="95"/>
    </w:p>
    <w:p>
      <w:pPr>
        <w:spacing w:line="600" w:lineRule="exact"/>
        <w:ind w:firstLine="642" w:firstLineChars="200"/>
        <w:outlineLvl w:val="2"/>
        <w:rPr>
          <w:rFonts w:ascii="仿宋" w:hAnsi="仿宋" w:eastAsia="仿宋"/>
          <w:sz w:val="32"/>
          <w:szCs w:val="32"/>
        </w:rPr>
      </w:pPr>
      <w:bookmarkStart w:id="96" w:name="_Toc5022"/>
      <w:bookmarkStart w:id="97" w:name="_Toc26692"/>
      <w:bookmarkStart w:id="98" w:name="_Toc15377222"/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  <w:bookmarkEnd w:id="96"/>
      <w:bookmarkEnd w:id="97"/>
      <w:bookmarkEnd w:id="98"/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剑阁县王河镇卫生院</w:t>
      </w:r>
      <w:r>
        <w:rPr>
          <w:rFonts w:hint="eastAsia" w:ascii="仿宋_GB2312" w:eastAsia="仿宋_GB2312"/>
          <w:sz w:val="32"/>
          <w:szCs w:val="32"/>
        </w:rPr>
        <w:t>机关运行经费支出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本单位属于事业单位，无机关运行经费。</w:t>
      </w:r>
    </w:p>
    <w:p>
      <w:pPr>
        <w:autoSpaceDE w:val="0"/>
        <w:autoSpaceDN w:val="0"/>
        <w:adjustRightInd w:val="0"/>
        <w:spacing w:line="600" w:lineRule="exact"/>
        <w:ind w:firstLine="642" w:firstLineChars="200"/>
        <w:jc w:val="left"/>
        <w:outlineLvl w:val="2"/>
        <w:rPr>
          <w:rFonts w:ascii="仿宋" w:hAnsi="仿宋" w:eastAsia="仿宋"/>
          <w:b/>
          <w:sz w:val="32"/>
          <w:szCs w:val="32"/>
        </w:rPr>
      </w:pPr>
      <w:bookmarkStart w:id="99" w:name="_Toc15377223"/>
      <w:bookmarkStart w:id="100" w:name="_Toc26014"/>
      <w:bookmarkStart w:id="101" w:name="_Toc249"/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  <w:bookmarkEnd w:id="99"/>
      <w:bookmarkEnd w:id="100"/>
      <w:bookmarkEnd w:id="101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剑阁县王河镇卫生院</w:t>
      </w:r>
      <w:r>
        <w:rPr>
          <w:rFonts w:hint="eastAsia" w:ascii="仿宋_GB2312" w:eastAsia="仿宋_GB2312"/>
          <w:sz w:val="32"/>
          <w:szCs w:val="32"/>
        </w:rPr>
        <w:t>政府采购支出总额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万元，其中：政府采购货物支出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万元、政府采购工程支出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万元、政府采购服务支出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万元。主要用于</w:t>
      </w:r>
      <w:r>
        <w:rPr>
          <w:rFonts w:ascii="仿宋_GB2312" w:eastAsia="仿宋_GB2312"/>
          <w:sz w:val="32"/>
          <w:szCs w:val="32"/>
        </w:rPr>
        <w:t>…</w:t>
      </w:r>
      <w:r>
        <w:rPr>
          <w:rFonts w:hint="eastAsia" w:ascii="仿宋_GB2312" w:eastAsia="仿宋_GB2312"/>
          <w:sz w:val="32"/>
          <w:szCs w:val="32"/>
        </w:rPr>
        <w:t>（具体工作）。授予中小企业合同金额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万元，占政府采购支出总额的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，其中：授予小微企业合同金额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万元，占政府采购支出总额的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2" w:firstLineChars="200"/>
        <w:jc w:val="left"/>
        <w:outlineLvl w:val="2"/>
        <w:rPr>
          <w:rFonts w:ascii="仿宋" w:hAnsi="仿宋" w:eastAsia="仿宋"/>
          <w:b/>
          <w:sz w:val="32"/>
          <w:szCs w:val="32"/>
        </w:rPr>
      </w:pPr>
      <w:bookmarkStart w:id="102" w:name="_Toc1669"/>
      <w:bookmarkStart w:id="103" w:name="_Toc23695"/>
      <w:bookmarkStart w:id="104" w:name="_Toc15377224"/>
      <w:r>
        <w:rPr>
          <w:rFonts w:hint="eastAsia" w:ascii="仿宋" w:hAnsi="仿宋" w:eastAsia="仿宋"/>
          <w:b/>
          <w:sz w:val="32"/>
          <w:szCs w:val="32"/>
        </w:rPr>
        <w:t>（三）国有资产占有使用情况</w:t>
      </w:r>
      <w:bookmarkEnd w:id="102"/>
      <w:bookmarkEnd w:id="103"/>
      <w:bookmarkEnd w:id="104"/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>日，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剑阁县王河镇卫生院</w:t>
      </w:r>
      <w:r>
        <w:rPr>
          <w:rFonts w:hint="eastAsia" w:ascii="仿宋_GB2312" w:eastAsia="仿宋_GB2312"/>
          <w:sz w:val="32"/>
          <w:szCs w:val="32"/>
        </w:rPr>
        <w:t>共有车辆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辆，其中：主要领导干部用车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辆、机要通信用车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辆、应急保障用车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辆、其他用车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辆，其他用车主要是用于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护理及运送病员的特种车辆，疫苗接种及公卫下乡体检车辆</w:t>
      </w:r>
      <w:r>
        <w:rPr>
          <w:rFonts w:hint="eastAsia" w:ascii="仿宋_GB2312" w:eastAsia="仿宋_GB2312"/>
          <w:sz w:val="32"/>
          <w:szCs w:val="32"/>
        </w:rPr>
        <w:t>。单价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万元以上专用设备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台（套）。</w:t>
      </w:r>
    </w:p>
    <w:p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</w:p>
    <w:p>
      <w:pPr>
        <w:numPr>
          <w:ilvl w:val="0"/>
          <w:numId w:val="4"/>
        </w:numPr>
        <w:spacing w:line="600" w:lineRule="exact"/>
        <w:ind w:firstLine="660" w:firstLineChars="150"/>
        <w:jc w:val="center"/>
        <w:outlineLvl w:val="0"/>
        <w:rPr>
          <w:rStyle w:val="28"/>
          <w:rFonts w:ascii="黑体" w:hAnsi="黑体" w:eastAsia="黑体"/>
          <w:b w:val="0"/>
        </w:rPr>
      </w:pPr>
      <w:bookmarkStart w:id="105" w:name="_Toc24189"/>
      <w:bookmarkStart w:id="106" w:name="_Toc15377225"/>
      <w:bookmarkStart w:id="107" w:name="_Toc18826"/>
      <w:bookmarkStart w:id="108" w:name="_Toc15396613"/>
      <w:r>
        <w:rPr>
          <w:rFonts w:hint="eastAsia" w:ascii="黑体" w:hAnsi="黑体" w:eastAsia="黑体"/>
          <w:sz w:val="44"/>
          <w:szCs w:val="44"/>
        </w:rPr>
        <w:t>名</w:t>
      </w:r>
      <w:r>
        <w:rPr>
          <w:rStyle w:val="28"/>
          <w:rFonts w:hint="eastAsia" w:ascii="黑体" w:hAnsi="黑体" w:eastAsia="黑体"/>
          <w:b w:val="0"/>
        </w:rPr>
        <w:t>词解释</w:t>
      </w:r>
      <w:bookmarkEnd w:id="105"/>
      <w:bookmarkEnd w:id="106"/>
      <w:bookmarkEnd w:id="107"/>
      <w:bookmarkEnd w:id="108"/>
    </w:p>
    <w:p>
      <w:pPr>
        <w:spacing w:line="600" w:lineRule="exact"/>
        <w:jc w:val="left"/>
        <w:rPr>
          <w:rFonts w:ascii="宋体"/>
          <w:b/>
          <w:sz w:val="44"/>
          <w:szCs w:val="44"/>
        </w:rPr>
      </w:pPr>
    </w:p>
    <w:p>
      <w:pPr>
        <w:pStyle w:val="26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财政拨款收入：指单位从同级财政部门取得的财政预算资金。</w:t>
      </w:r>
    </w:p>
    <w:p>
      <w:pPr>
        <w:pStyle w:val="26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事业收入：指事业单位开展专业业务活动及辅助活动取得的收入。</w:t>
      </w:r>
    </w:p>
    <w:p>
      <w:pPr>
        <w:pStyle w:val="26"/>
        <w:spacing w:line="560" w:lineRule="exact"/>
        <w:ind w:left="638" w:leftChars="304" w:firstLine="0" w:firstLineChars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其他收入：指单位取得的除上述收入以外的各项收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入。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社会保障和就业（类）行政事业单位离退休（款）机关事业单位基本养老保险缴费支出（项）：指部门实施养老保险制度由单位缴纳的养老保险费的支出。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卫生健康（类）行政事业单位医疗（款）事业单位医疗（项）：指事业单位用于缴纳单位基本医疗保险支出。</w:t>
      </w:r>
    </w:p>
    <w:p>
      <w:pPr>
        <w:pStyle w:val="1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住房保障（类）住房改革支出（款）住房公积金（项）：指按照《住房公积金管理条例》的规定，由单位及其在职职工缴存的长期住房储金。</w:t>
      </w:r>
    </w:p>
    <w:p>
      <w:pPr>
        <w:pStyle w:val="1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卫生健康支出（类）公共卫生（款）基本公共卫生服务（项）：指基层医疗机构提供基本公共卫生服务支出。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卫生健康支出（类）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基层医疗机构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（款）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乡镇卫生院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（项）：指基层医疗机构提供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医疗服务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支出。</w:t>
      </w:r>
    </w:p>
    <w:p>
      <w:pPr>
        <w:pStyle w:val="1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卫生健康支出（类）基层医疗卫生机构（款）其他基层医疗卫生机构支出（项）：指基层医疗机构村卫生室补助支出。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基本支出：指为保障机构正常运转、完成日常工作任务而发生的人员支出和公用支出。</w:t>
      </w:r>
    </w:p>
    <w:p>
      <w:pPr>
        <w:pStyle w:val="26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“三公”经费：指单位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等支出；公务接待费反映单位按规定开支的各类公务接待（含外宾接待）支出。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600" w:lineRule="exact"/>
        <w:jc w:val="center"/>
        <w:outlineLvl w:val="0"/>
        <w:rPr>
          <w:rFonts w:ascii="仿宋" w:hAnsi="仿宋" w:eastAsia="仿宋"/>
        </w:rPr>
      </w:pPr>
      <w:bookmarkStart w:id="109" w:name="_Toc15377226"/>
      <w:r>
        <w:rPr>
          <w:rFonts w:ascii="宋体"/>
          <w:b/>
          <w:sz w:val="44"/>
          <w:szCs w:val="44"/>
        </w:rPr>
        <w:br w:type="page"/>
      </w:r>
      <w:bookmarkStart w:id="110" w:name="_Toc15396618"/>
      <w:bookmarkStart w:id="111" w:name="_Toc9018"/>
      <w:bookmarkStart w:id="112" w:name="_Toc16584"/>
      <w:r>
        <w:rPr>
          <w:rFonts w:hint="eastAsia" w:ascii="黑体" w:hAnsi="黑体" w:eastAsia="黑体"/>
          <w:sz w:val="44"/>
          <w:szCs w:val="44"/>
        </w:rPr>
        <w:t>第</w:t>
      </w:r>
      <w:r>
        <w:rPr>
          <w:rStyle w:val="28"/>
          <w:rFonts w:hint="eastAsia" w:ascii="黑体" w:hAnsi="黑体" w:eastAsia="黑体"/>
          <w:b w:val="0"/>
          <w:lang w:eastAsia="zh-CN"/>
        </w:rPr>
        <w:t>四</w:t>
      </w:r>
      <w:r>
        <w:rPr>
          <w:rStyle w:val="28"/>
          <w:rFonts w:hint="eastAsia" w:ascii="黑体" w:hAnsi="黑体" w:eastAsia="黑体"/>
          <w:b w:val="0"/>
        </w:rPr>
        <w:t>部分 附表</w:t>
      </w:r>
      <w:bookmarkEnd w:id="109"/>
      <w:bookmarkEnd w:id="110"/>
      <w:bookmarkEnd w:id="111"/>
      <w:bookmarkEnd w:id="112"/>
      <w:bookmarkStart w:id="113" w:name="_Toc15396619"/>
    </w:p>
    <w:p>
      <w:pPr>
        <w:pStyle w:val="7"/>
        <w:rPr>
          <w:rFonts w:ascii="仿宋" w:hAnsi="仿宋" w:eastAsia="仿宋"/>
        </w:rPr>
      </w:pPr>
      <w:bookmarkStart w:id="114" w:name="_Toc28528"/>
      <w:bookmarkStart w:id="115" w:name="_Toc31260"/>
      <w:r>
        <w:rPr>
          <w:rFonts w:hint="eastAsia" w:ascii="仿宋" w:hAnsi="仿宋" w:eastAsia="仿宋"/>
          <w:b w:val="0"/>
        </w:rPr>
        <w:t>一、收</w:t>
      </w:r>
      <w:r>
        <w:rPr>
          <w:rStyle w:val="29"/>
          <w:rFonts w:hint="eastAsia" w:ascii="仿宋" w:hAnsi="仿宋" w:eastAsia="仿宋"/>
          <w:b w:val="0"/>
          <w:bCs w:val="0"/>
        </w:rPr>
        <w:t>入支出决算总表</w:t>
      </w:r>
      <w:bookmarkEnd w:id="113"/>
      <w:bookmarkEnd w:id="114"/>
      <w:bookmarkEnd w:id="115"/>
    </w:p>
    <w:p>
      <w:pPr>
        <w:pStyle w:val="7"/>
        <w:rPr>
          <w:rFonts w:ascii="仿宋" w:hAnsi="仿宋" w:eastAsia="仿宋"/>
        </w:rPr>
      </w:pPr>
      <w:bookmarkStart w:id="116" w:name="_Toc15396620"/>
      <w:bookmarkStart w:id="117" w:name="_Toc27571"/>
      <w:bookmarkStart w:id="118" w:name="_Toc25982"/>
      <w:r>
        <w:rPr>
          <w:rFonts w:hint="eastAsia" w:ascii="仿宋" w:hAnsi="仿宋" w:eastAsia="仿宋"/>
          <w:b w:val="0"/>
        </w:rPr>
        <w:t>二、收</w:t>
      </w:r>
      <w:r>
        <w:rPr>
          <w:rStyle w:val="29"/>
          <w:rFonts w:hint="eastAsia" w:ascii="仿宋" w:hAnsi="仿宋" w:eastAsia="仿宋"/>
          <w:b w:val="0"/>
          <w:bCs w:val="0"/>
        </w:rPr>
        <w:t>入决算表</w:t>
      </w:r>
      <w:bookmarkEnd w:id="116"/>
      <w:bookmarkEnd w:id="117"/>
      <w:bookmarkEnd w:id="118"/>
    </w:p>
    <w:p>
      <w:pPr>
        <w:pStyle w:val="7"/>
        <w:rPr>
          <w:rFonts w:ascii="仿宋" w:hAnsi="仿宋" w:eastAsia="仿宋"/>
        </w:rPr>
      </w:pPr>
      <w:bookmarkStart w:id="119" w:name="_Toc16117"/>
      <w:bookmarkStart w:id="120" w:name="_Toc1256"/>
      <w:bookmarkStart w:id="121" w:name="_Toc15396621"/>
      <w:r>
        <w:rPr>
          <w:rStyle w:val="29"/>
          <w:rFonts w:hint="eastAsia" w:ascii="仿宋" w:hAnsi="仿宋" w:eastAsia="仿宋"/>
          <w:b w:val="0"/>
          <w:bCs w:val="0"/>
        </w:rPr>
        <w:t>三、</w:t>
      </w:r>
      <w:r>
        <w:rPr>
          <w:rFonts w:hint="eastAsia" w:ascii="仿宋" w:hAnsi="仿宋" w:eastAsia="仿宋"/>
          <w:b w:val="0"/>
        </w:rPr>
        <w:t>支</w:t>
      </w:r>
      <w:r>
        <w:rPr>
          <w:rStyle w:val="29"/>
          <w:rFonts w:hint="eastAsia" w:ascii="仿宋" w:hAnsi="仿宋" w:eastAsia="仿宋"/>
          <w:b w:val="0"/>
          <w:bCs w:val="0"/>
        </w:rPr>
        <w:t>出决算表</w:t>
      </w:r>
      <w:bookmarkEnd w:id="119"/>
      <w:bookmarkEnd w:id="120"/>
      <w:bookmarkEnd w:id="121"/>
    </w:p>
    <w:p>
      <w:pPr>
        <w:pStyle w:val="7"/>
        <w:rPr>
          <w:rFonts w:ascii="仿宋" w:hAnsi="仿宋" w:eastAsia="仿宋"/>
          <w:b w:val="0"/>
        </w:rPr>
      </w:pPr>
      <w:bookmarkStart w:id="122" w:name="_Toc31385"/>
      <w:bookmarkStart w:id="123" w:name="_Toc15690"/>
      <w:bookmarkStart w:id="124" w:name="_Toc15396622"/>
      <w:r>
        <w:rPr>
          <w:rStyle w:val="29"/>
          <w:rFonts w:hint="eastAsia" w:ascii="仿宋" w:hAnsi="仿宋" w:eastAsia="仿宋"/>
          <w:b w:val="0"/>
          <w:bCs w:val="0"/>
        </w:rPr>
        <w:t>四、</w:t>
      </w:r>
      <w:r>
        <w:rPr>
          <w:rFonts w:hint="eastAsia" w:ascii="仿宋" w:hAnsi="仿宋" w:eastAsia="仿宋"/>
          <w:b w:val="0"/>
        </w:rPr>
        <w:t>财</w:t>
      </w:r>
      <w:r>
        <w:rPr>
          <w:rStyle w:val="29"/>
          <w:rFonts w:hint="eastAsia" w:ascii="仿宋" w:hAnsi="仿宋" w:eastAsia="仿宋"/>
          <w:b w:val="0"/>
          <w:bCs w:val="0"/>
        </w:rPr>
        <w:t>政拨款收入支出决算总表</w:t>
      </w:r>
      <w:bookmarkEnd w:id="122"/>
      <w:bookmarkEnd w:id="123"/>
      <w:bookmarkEnd w:id="124"/>
    </w:p>
    <w:p>
      <w:pPr>
        <w:pStyle w:val="7"/>
        <w:rPr>
          <w:rStyle w:val="29"/>
          <w:rFonts w:ascii="仿宋" w:hAnsi="仿宋" w:eastAsia="仿宋"/>
          <w:b w:val="0"/>
          <w:bCs w:val="0"/>
        </w:rPr>
      </w:pPr>
      <w:bookmarkStart w:id="125" w:name="_Toc15396623"/>
      <w:bookmarkStart w:id="126" w:name="_Toc24148"/>
      <w:bookmarkStart w:id="127" w:name="_Toc16064"/>
      <w:r>
        <w:rPr>
          <w:rStyle w:val="29"/>
          <w:rFonts w:hint="eastAsia" w:ascii="仿宋" w:hAnsi="仿宋" w:eastAsia="仿宋"/>
          <w:b w:val="0"/>
          <w:bCs w:val="0"/>
        </w:rPr>
        <w:t>五、</w:t>
      </w:r>
      <w:r>
        <w:rPr>
          <w:rFonts w:hint="eastAsia" w:ascii="仿宋" w:hAnsi="仿宋" w:eastAsia="仿宋"/>
          <w:b w:val="0"/>
        </w:rPr>
        <w:t>财</w:t>
      </w:r>
      <w:r>
        <w:rPr>
          <w:rStyle w:val="29"/>
          <w:rFonts w:hint="eastAsia" w:ascii="仿宋" w:hAnsi="仿宋" w:eastAsia="仿宋"/>
          <w:b w:val="0"/>
          <w:bCs w:val="0"/>
        </w:rPr>
        <w:t>政拨款支出决算明细表</w:t>
      </w:r>
      <w:bookmarkEnd w:id="125"/>
      <w:bookmarkEnd w:id="126"/>
      <w:bookmarkEnd w:id="127"/>
      <w:bookmarkStart w:id="128" w:name="_Toc15396624"/>
    </w:p>
    <w:p>
      <w:pPr>
        <w:pStyle w:val="7"/>
        <w:rPr>
          <w:rFonts w:ascii="仿宋" w:hAnsi="仿宋" w:eastAsia="仿宋"/>
        </w:rPr>
      </w:pPr>
      <w:bookmarkStart w:id="129" w:name="_Toc24453"/>
      <w:bookmarkStart w:id="130" w:name="_Toc23060"/>
      <w:r>
        <w:rPr>
          <w:rStyle w:val="29"/>
          <w:rFonts w:hint="eastAsia" w:ascii="仿宋" w:hAnsi="仿宋" w:eastAsia="仿宋"/>
          <w:b w:val="0"/>
          <w:bCs w:val="0"/>
        </w:rPr>
        <w:t>六、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29"/>
          <w:rFonts w:hint="eastAsia" w:ascii="仿宋" w:hAnsi="仿宋" w:eastAsia="仿宋"/>
          <w:b w:val="0"/>
          <w:bCs w:val="0"/>
        </w:rPr>
        <w:t>般公共预算财政拨款支出决算表</w:t>
      </w:r>
      <w:bookmarkEnd w:id="128"/>
      <w:bookmarkEnd w:id="129"/>
      <w:bookmarkEnd w:id="130"/>
    </w:p>
    <w:p>
      <w:pPr>
        <w:pStyle w:val="7"/>
        <w:rPr>
          <w:rFonts w:ascii="仿宋" w:hAnsi="仿宋" w:eastAsia="仿宋"/>
        </w:rPr>
      </w:pPr>
      <w:bookmarkStart w:id="131" w:name="_Toc32312"/>
      <w:bookmarkStart w:id="132" w:name="_Toc20969"/>
      <w:bookmarkStart w:id="133" w:name="_Toc15396625"/>
      <w:r>
        <w:rPr>
          <w:rStyle w:val="29"/>
          <w:rFonts w:hint="eastAsia" w:ascii="仿宋" w:hAnsi="仿宋" w:eastAsia="仿宋"/>
          <w:b w:val="0"/>
          <w:bCs w:val="0"/>
        </w:rPr>
        <w:t>七、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29"/>
          <w:rFonts w:hint="eastAsia" w:ascii="仿宋" w:hAnsi="仿宋" w:eastAsia="仿宋"/>
          <w:b w:val="0"/>
          <w:bCs w:val="0"/>
        </w:rPr>
        <w:t>般公共预算财政拨款支出决算明细表</w:t>
      </w:r>
      <w:bookmarkEnd w:id="131"/>
      <w:bookmarkEnd w:id="132"/>
      <w:bookmarkEnd w:id="133"/>
    </w:p>
    <w:p>
      <w:pPr>
        <w:pStyle w:val="7"/>
        <w:rPr>
          <w:rFonts w:ascii="仿宋" w:hAnsi="仿宋" w:eastAsia="仿宋"/>
        </w:rPr>
      </w:pPr>
      <w:bookmarkStart w:id="134" w:name="_Toc1292"/>
      <w:bookmarkStart w:id="135" w:name="_Toc15396626"/>
      <w:bookmarkStart w:id="136" w:name="_Toc21020"/>
      <w:r>
        <w:rPr>
          <w:rStyle w:val="29"/>
          <w:rFonts w:hint="eastAsia" w:ascii="仿宋" w:hAnsi="仿宋" w:eastAsia="仿宋"/>
          <w:b w:val="0"/>
          <w:bCs w:val="0"/>
        </w:rPr>
        <w:t>八、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29"/>
          <w:rFonts w:hint="eastAsia" w:ascii="仿宋" w:hAnsi="仿宋" w:eastAsia="仿宋"/>
          <w:b w:val="0"/>
          <w:bCs w:val="0"/>
        </w:rPr>
        <w:t>般公共预算财政拨款基本支出决算表</w:t>
      </w:r>
      <w:bookmarkEnd w:id="134"/>
      <w:bookmarkEnd w:id="135"/>
      <w:bookmarkEnd w:id="136"/>
    </w:p>
    <w:p>
      <w:pPr>
        <w:pStyle w:val="7"/>
        <w:rPr>
          <w:rFonts w:ascii="仿宋" w:hAnsi="仿宋" w:eastAsia="仿宋"/>
        </w:rPr>
      </w:pPr>
      <w:bookmarkStart w:id="137" w:name="_Toc24484"/>
      <w:bookmarkStart w:id="138" w:name="_Toc22008"/>
      <w:bookmarkStart w:id="139" w:name="_Toc15396627"/>
      <w:r>
        <w:rPr>
          <w:rStyle w:val="29"/>
          <w:rFonts w:hint="eastAsia" w:ascii="仿宋" w:hAnsi="仿宋" w:eastAsia="仿宋"/>
          <w:b w:val="0"/>
          <w:bCs w:val="0"/>
        </w:rPr>
        <w:t>九、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29"/>
          <w:rFonts w:hint="eastAsia" w:ascii="仿宋" w:hAnsi="仿宋" w:eastAsia="仿宋"/>
          <w:b w:val="0"/>
          <w:bCs w:val="0"/>
        </w:rPr>
        <w:t>般公共预算财政拨款项目支出决算表</w:t>
      </w:r>
      <w:bookmarkEnd w:id="137"/>
      <w:bookmarkEnd w:id="138"/>
      <w:bookmarkEnd w:id="139"/>
    </w:p>
    <w:p>
      <w:pPr>
        <w:pStyle w:val="7"/>
        <w:rPr>
          <w:rFonts w:ascii="仿宋" w:hAnsi="仿宋" w:eastAsia="仿宋"/>
        </w:rPr>
      </w:pPr>
      <w:bookmarkStart w:id="140" w:name="_Toc15396628"/>
      <w:bookmarkStart w:id="141" w:name="_Toc18544"/>
      <w:bookmarkStart w:id="142" w:name="_Toc32023"/>
      <w:r>
        <w:rPr>
          <w:rStyle w:val="29"/>
          <w:rFonts w:hint="eastAsia" w:ascii="仿宋" w:hAnsi="仿宋" w:eastAsia="仿宋"/>
          <w:b w:val="0"/>
          <w:bCs w:val="0"/>
        </w:rPr>
        <w:t>十、</w:t>
      </w:r>
      <w:bookmarkEnd w:id="140"/>
      <w:r>
        <w:rPr>
          <w:rFonts w:hint="eastAsia" w:ascii="仿宋" w:hAnsi="仿宋" w:eastAsia="仿宋"/>
          <w:b w:val="0"/>
        </w:rPr>
        <w:t>政</w:t>
      </w:r>
      <w:r>
        <w:rPr>
          <w:rStyle w:val="29"/>
          <w:rFonts w:hint="eastAsia" w:ascii="仿宋" w:hAnsi="仿宋" w:eastAsia="仿宋"/>
          <w:b w:val="0"/>
          <w:bCs w:val="0"/>
        </w:rPr>
        <w:t>府性基金预算财政拨款收入支出决算表</w:t>
      </w:r>
      <w:bookmarkEnd w:id="141"/>
      <w:bookmarkEnd w:id="142"/>
    </w:p>
    <w:p>
      <w:pPr>
        <w:pStyle w:val="7"/>
        <w:rPr>
          <w:rFonts w:ascii="仿宋" w:hAnsi="仿宋" w:eastAsia="仿宋"/>
        </w:rPr>
      </w:pPr>
      <w:bookmarkStart w:id="143" w:name="_Toc15396629"/>
      <w:bookmarkStart w:id="144" w:name="_Toc16642"/>
      <w:bookmarkStart w:id="145" w:name="_Toc16714"/>
      <w:r>
        <w:rPr>
          <w:rStyle w:val="29"/>
          <w:rFonts w:hint="eastAsia" w:ascii="仿宋" w:hAnsi="仿宋" w:eastAsia="仿宋"/>
          <w:b w:val="0"/>
          <w:bCs w:val="0"/>
        </w:rPr>
        <w:t>十一、</w:t>
      </w:r>
      <w:bookmarkEnd w:id="143"/>
      <w:r>
        <w:rPr>
          <w:rFonts w:hint="eastAsia" w:ascii="仿宋" w:hAnsi="仿宋" w:eastAsia="仿宋"/>
          <w:b w:val="0"/>
        </w:rPr>
        <w:t>国</w:t>
      </w:r>
      <w:r>
        <w:rPr>
          <w:rStyle w:val="29"/>
          <w:rFonts w:hint="eastAsia" w:ascii="仿宋" w:hAnsi="仿宋" w:eastAsia="仿宋"/>
          <w:b w:val="0"/>
          <w:bCs w:val="0"/>
        </w:rPr>
        <w:t>有资本经营预算财政拨款收入支出决算表</w:t>
      </w:r>
      <w:bookmarkEnd w:id="144"/>
      <w:bookmarkEnd w:id="145"/>
    </w:p>
    <w:p>
      <w:pPr>
        <w:pStyle w:val="7"/>
        <w:rPr>
          <w:rFonts w:ascii="仿宋" w:hAnsi="仿宋" w:eastAsia="仿宋"/>
        </w:rPr>
      </w:pPr>
      <w:bookmarkStart w:id="146" w:name="_Toc15396630"/>
      <w:bookmarkStart w:id="147" w:name="_Toc10313"/>
      <w:bookmarkStart w:id="148" w:name="_Toc4859"/>
      <w:r>
        <w:rPr>
          <w:rStyle w:val="29"/>
          <w:rFonts w:hint="eastAsia" w:ascii="仿宋" w:hAnsi="仿宋" w:eastAsia="仿宋"/>
          <w:b w:val="0"/>
          <w:bCs w:val="0"/>
        </w:rPr>
        <w:t>十二、</w:t>
      </w:r>
      <w:bookmarkEnd w:id="146"/>
      <w:r>
        <w:rPr>
          <w:rStyle w:val="29"/>
          <w:rFonts w:hint="eastAsia" w:ascii="仿宋" w:hAnsi="仿宋" w:eastAsia="仿宋"/>
          <w:b w:val="0"/>
          <w:bCs w:val="0"/>
        </w:rPr>
        <w:t>国有资本经营预算财政拨款支出决算表</w:t>
      </w:r>
      <w:bookmarkEnd w:id="147"/>
      <w:bookmarkEnd w:id="148"/>
    </w:p>
    <w:p>
      <w:pPr>
        <w:pStyle w:val="7"/>
        <w:rPr>
          <w:rFonts w:eastAsia="仿宋"/>
        </w:rPr>
      </w:pPr>
      <w:bookmarkStart w:id="149" w:name="_Toc15396631"/>
      <w:bookmarkStart w:id="150" w:name="_Toc10040"/>
      <w:bookmarkStart w:id="151" w:name="_Toc31915"/>
      <w:r>
        <w:rPr>
          <w:rStyle w:val="29"/>
          <w:rFonts w:hint="eastAsia" w:ascii="仿宋" w:hAnsi="仿宋" w:eastAsia="仿宋"/>
          <w:b w:val="0"/>
          <w:bCs w:val="0"/>
        </w:rPr>
        <w:t>十三、</w:t>
      </w:r>
      <w:bookmarkEnd w:id="149"/>
      <w:r>
        <w:rPr>
          <w:rStyle w:val="29"/>
          <w:rFonts w:hint="eastAsia" w:ascii="仿宋" w:hAnsi="仿宋" w:eastAsia="仿宋"/>
          <w:b w:val="0"/>
          <w:bCs w:val="0"/>
        </w:rPr>
        <w:t>财政拨款“三公”经费支出决算表</w:t>
      </w:r>
      <w:bookmarkEnd w:id="150"/>
      <w:bookmarkEnd w:id="15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4781956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652CEC"/>
    <w:multiLevelType w:val="singleLevel"/>
    <w:tmpl w:val="CF652CEC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FA047D"/>
    <w:multiLevelType w:val="singleLevel"/>
    <w:tmpl w:val="E2FA047D"/>
    <w:lvl w:ilvl="0" w:tentative="0">
      <w:start w:val="3"/>
      <w:numFmt w:val="chineseCounting"/>
      <w:suff w:val="space"/>
      <w:lvlText w:val="第%1部分"/>
      <w:lvlJc w:val="left"/>
      <w:rPr>
        <w:rFonts w:hint="eastAsia" w:ascii="黑体" w:hAnsi="黑体" w:eastAsia="黑体" w:cs="黑体"/>
        <w:sz w:val="44"/>
        <w:szCs w:val="44"/>
      </w:rPr>
    </w:lvl>
  </w:abstractNum>
  <w:abstractNum w:abstractNumId="2">
    <w:nsid w:val="1272550B"/>
    <w:multiLevelType w:val="multilevel"/>
    <w:tmpl w:val="1272550B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818A09A"/>
    <w:multiLevelType w:val="singleLevel"/>
    <w:tmpl w:val="3818A09A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28"/>
        <w:szCs w:val="28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OWY2NTQ1YThjMWM1NjVmYWUwMzRmZWZmNDUzOTgifQ=="/>
  </w:docVars>
  <w:rsids>
    <w:rsidRoot w:val="00F1361C"/>
    <w:rsid w:val="000222C6"/>
    <w:rsid w:val="0002549F"/>
    <w:rsid w:val="000409D9"/>
    <w:rsid w:val="000468DB"/>
    <w:rsid w:val="0006487A"/>
    <w:rsid w:val="00065F8F"/>
    <w:rsid w:val="00070A43"/>
    <w:rsid w:val="000768F2"/>
    <w:rsid w:val="0009184B"/>
    <w:rsid w:val="00094236"/>
    <w:rsid w:val="0009593C"/>
    <w:rsid w:val="00097322"/>
    <w:rsid w:val="000A6A92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14E9B"/>
    <w:rsid w:val="00142216"/>
    <w:rsid w:val="00144D6A"/>
    <w:rsid w:val="0014729F"/>
    <w:rsid w:val="00157BAB"/>
    <w:rsid w:val="001654D1"/>
    <w:rsid w:val="00174518"/>
    <w:rsid w:val="0018106D"/>
    <w:rsid w:val="001877A7"/>
    <w:rsid w:val="00191536"/>
    <w:rsid w:val="00196687"/>
    <w:rsid w:val="001A3C1B"/>
    <w:rsid w:val="001C0962"/>
    <w:rsid w:val="001D7531"/>
    <w:rsid w:val="001E737D"/>
    <w:rsid w:val="001F0592"/>
    <w:rsid w:val="001F7506"/>
    <w:rsid w:val="002006CD"/>
    <w:rsid w:val="00202B36"/>
    <w:rsid w:val="00204B7A"/>
    <w:rsid w:val="00204CDE"/>
    <w:rsid w:val="0021101A"/>
    <w:rsid w:val="00220536"/>
    <w:rsid w:val="00235629"/>
    <w:rsid w:val="00260C38"/>
    <w:rsid w:val="002616C0"/>
    <w:rsid w:val="00265372"/>
    <w:rsid w:val="002662AA"/>
    <w:rsid w:val="00280496"/>
    <w:rsid w:val="00294DC9"/>
    <w:rsid w:val="00295495"/>
    <w:rsid w:val="002A31DE"/>
    <w:rsid w:val="002B2613"/>
    <w:rsid w:val="002C7CD4"/>
    <w:rsid w:val="002D6D05"/>
    <w:rsid w:val="002F1818"/>
    <w:rsid w:val="002F567B"/>
    <w:rsid w:val="003216A9"/>
    <w:rsid w:val="00335A74"/>
    <w:rsid w:val="0036561B"/>
    <w:rsid w:val="0037013F"/>
    <w:rsid w:val="00380C92"/>
    <w:rsid w:val="003A484F"/>
    <w:rsid w:val="003A4883"/>
    <w:rsid w:val="003B0BE0"/>
    <w:rsid w:val="003B0C1B"/>
    <w:rsid w:val="003B688C"/>
    <w:rsid w:val="003C0291"/>
    <w:rsid w:val="003C39AE"/>
    <w:rsid w:val="003C7B60"/>
    <w:rsid w:val="003D0C0F"/>
    <w:rsid w:val="003D1FB2"/>
    <w:rsid w:val="003D66DA"/>
    <w:rsid w:val="003E1310"/>
    <w:rsid w:val="003E6F55"/>
    <w:rsid w:val="00406254"/>
    <w:rsid w:val="004223DE"/>
    <w:rsid w:val="00434489"/>
    <w:rsid w:val="00437085"/>
    <w:rsid w:val="00443880"/>
    <w:rsid w:val="004464F4"/>
    <w:rsid w:val="00471401"/>
    <w:rsid w:val="00473F31"/>
    <w:rsid w:val="0048263A"/>
    <w:rsid w:val="00487E5D"/>
    <w:rsid w:val="004A711F"/>
    <w:rsid w:val="004B199D"/>
    <w:rsid w:val="004B4690"/>
    <w:rsid w:val="004D7BF4"/>
    <w:rsid w:val="004E0A2D"/>
    <w:rsid w:val="004E206B"/>
    <w:rsid w:val="004E6DF7"/>
    <w:rsid w:val="004F0FBD"/>
    <w:rsid w:val="00505A47"/>
    <w:rsid w:val="00512FDA"/>
    <w:rsid w:val="00520DA0"/>
    <w:rsid w:val="005664BB"/>
    <w:rsid w:val="00566FFA"/>
    <w:rsid w:val="0057481D"/>
    <w:rsid w:val="0058486E"/>
    <w:rsid w:val="00585B33"/>
    <w:rsid w:val="00587AA4"/>
    <w:rsid w:val="0059014D"/>
    <w:rsid w:val="005B5C64"/>
    <w:rsid w:val="005C5337"/>
    <w:rsid w:val="005C6BD0"/>
    <w:rsid w:val="005D1C8B"/>
    <w:rsid w:val="005D468D"/>
    <w:rsid w:val="005D5CED"/>
    <w:rsid w:val="005F1A4C"/>
    <w:rsid w:val="00605688"/>
    <w:rsid w:val="006070AF"/>
    <w:rsid w:val="00607E6C"/>
    <w:rsid w:val="006101B1"/>
    <w:rsid w:val="00614E44"/>
    <w:rsid w:val="0062270A"/>
    <w:rsid w:val="00622830"/>
    <w:rsid w:val="00623DA0"/>
    <w:rsid w:val="00630AEF"/>
    <w:rsid w:val="00630E31"/>
    <w:rsid w:val="006325F8"/>
    <w:rsid w:val="00633463"/>
    <w:rsid w:val="00634C9A"/>
    <w:rsid w:val="006440E4"/>
    <w:rsid w:val="0066343B"/>
    <w:rsid w:val="00664777"/>
    <w:rsid w:val="006748A4"/>
    <w:rsid w:val="00681A31"/>
    <w:rsid w:val="00683E73"/>
    <w:rsid w:val="006A3141"/>
    <w:rsid w:val="006A5E34"/>
    <w:rsid w:val="006B2422"/>
    <w:rsid w:val="006B2B9A"/>
    <w:rsid w:val="006C1937"/>
    <w:rsid w:val="006F020C"/>
    <w:rsid w:val="007127B7"/>
    <w:rsid w:val="0071798E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1682"/>
    <w:rsid w:val="007D312A"/>
    <w:rsid w:val="007D3F19"/>
    <w:rsid w:val="007E23B0"/>
    <w:rsid w:val="007E23E5"/>
    <w:rsid w:val="007F1991"/>
    <w:rsid w:val="007F2C2F"/>
    <w:rsid w:val="007F55FC"/>
    <w:rsid w:val="007F5665"/>
    <w:rsid w:val="00800112"/>
    <w:rsid w:val="00813348"/>
    <w:rsid w:val="008253BB"/>
    <w:rsid w:val="0083706E"/>
    <w:rsid w:val="008408F6"/>
    <w:rsid w:val="008423A5"/>
    <w:rsid w:val="00850625"/>
    <w:rsid w:val="00853718"/>
    <w:rsid w:val="00855221"/>
    <w:rsid w:val="00860645"/>
    <w:rsid w:val="00871F71"/>
    <w:rsid w:val="00872FD8"/>
    <w:rsid w:val="00885AF4"/>
    <w:rsid w:val="008939CD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33499"/>
    <w:rsid w:val="00935C98"/>
    <w:rsid w:val="00946945"/>
    <w:rsid w:val="00951248"/>
    <w:rsid w:val="0095152F"/>
    <w:rsid w:val="00954C49"/>
    <w:rsid w:val="00955E37"/>
    <w:rsid w:val="009575B9"/>
    <w:rsid w:val="0096294D"/>
    <w:rsid w:val="0097099F"/>
    <w:rsid w:val="00971997"/>
    <w:rsid w:val="00971FFC"/>
    <w:rsid w:val="0098660A"/>
    <w:rsid w:val="009931C3"/>
    <w:rsid w:val="009B2C43"/>
    <w:rsid w:val="009B4EAE"/>
    <w:rsid w:val="009B7573"/>
    <w:rsid w:val="009C22F4"/>
    <w:rsid w:val="009C2A4B"/>
    <w:rsid w:val="009C2E98"/>
    <w:rsid w:val="009D3447"/>
    <w:rsid w:val="009D4711"/>
    <w:rsid w:val="009F1185"/>
    <w:rsid w:val="009F18CD"/>
    <w:rsid w:val="009F2A13"/>
    <w:rsid w:val="009F7527"/>
    <w:rsid w:val="00A04EB0"/>
    <w:rsid w:val="00A13CC1"/>
    <w:rsid w:val="00A16847"/>
    <w:rsid w:val="00A237D8"/>
    <w:rsid w:val="00A268C4"/>
    <w:rsid w:val="00A307CD"/>
    <w:rsid w:val="00A331C8"/>
    <w:rsid w:val="00A40A00"/>
    <w:rsid w:val="00A4142F"/>
    <w:rsid w:val="00A422EB"/>
    <w:rsid w:val="00A45BB7"/>
    <w:rsid w:val="00A56DF2"/>
    <w:rsid w:val="00A56E6E"/>
    <w:rsid w:val="00A67AB5"/>
    <w:rsid w:val="00A733B2"/>
    <w:rsid w:val="00A741C2"/>
    <w:rsid w:val="00A91760"/>
    <w:rsid w:val="00A93B00"/>
    <w:rsid w:val="00A93C21"/>
    <w:rsid w:val="00AB64C9"/>
    <w:rsid w:val="00AC3C6A"/>
    <w:rsid w:val="00AD5620"/>
    <w:rsid w:val="00AD656B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310B9"/>
    <w:rsid w:val="00B35F3F"/>
    <w:rsid w:val="00B36CBB"/>
    <w:rsid w:val="00B425E0"/>
    <w:rsid w:val="00B440AA"/>
    <w:rsid w:val="00B44B70"/>
    <w:rsid w:val="00B53C56"/>
    <w:rsid w:val="00B57DAF"/>
    <w:rsid w:val="00B77EA6"/>
    <w:rsid w:val="00B81598"/>
    <w:rsid w:val="00B841F1"/>
    <w:rsid w:val="00B873A9"/>
    <w:rsid w:val="00B944D6"/>
    <w:rsid w:val="00BB4DF0"/>
    <w:rsid w:val="00BC289F"/>
    <w:rsid w:val="00BC2D50"/>
    <w:rsid w:val="00BC5361"/>
    <w:rsid w:val="00BC5460"/>
    <w:rsid w:val="00BC6B50"/>
    <w:rsid w:val="00BD0E25"/>
    <w:rsid w:val="00BF5BD6"/>
    <w:rsid w:val="00C03E31"/>
    <w:rsid w:val="00C1671B"/>
    <w:rsid w:val="00C33E72"/>
    <w:rsid w:val="00C354B2"/>
    <w:rsid w:val="00C35554"/>
    <w:rsid w:val="00C42709"/>
    <w:rsid w:val="00C533CC"/>
    <w:rsid w:val="00C56F3A"/>
    <w:rsid w:val="00C5751C"/>
    <w:rsid w:val="00C61BFC"/>
    <w:rsid w:val="00C62B85"/>
    <w:rsid w:val="00C65438"/>
    <w:rsid w:val="00C87FD8"/>
    <w:rsid w:val="00C91381"/>
    <w:rsid w:val="00C91CBB"/>
    <w:rsid w:val="00CB4E70"/>
    <w:rsid w:val="00CC09B6"/>
    <w:rsid w:val="00CC666F"/>
    <w:rsid w:val="00CD1E3F"/>
    <w:rsid w:val="00CE44F6"/>
    <w:rsid w:val="00CE49DA"/>
    <w:rsid w:val="00CE7B61"/>
    <w:rsid w:val="00D00095"/>
    <w:rsid w:val="00D114F0"/>
    <w:rsid w:val="00D20620"/>
    <w:rsid w:val="00D254F7"/>
    <w:rsid w:val="00D26091"/>
    <w:rsid w:val="00D2685C"/>
    <w:rsid w:val="00D34E7C"/>
    <w:rsid w:val="00D35489"/>
    <w:rsid w:val="00D36AFE"/>
    <w:rsid w:val="00D51276"/>
    <w:rsid w:val="00D7035F"/>
    <w:rsid w:val="00DA634F"/>
    <w:rsid w:val="00DA65AC"/>
    <w:rsid w:val="00DB1913"/>
    <w:rsid w:val="00DC410D"/>
    <w:rsid w:val="00DC5A81"/>
    <w:rsid w:val="00DC68CA"/>
    <w:rsid w:val="00DC7CBA"/>
    <w:rsid w:val="00DD73B7"/>
    <w:rsid w:val="00DF28BC"/>
    <w:rsid w:val="00DF34B9"/>
    <w:rsid w:val="00E01053"/>
    <w:rsid w:val="00E07ACF"/>
    <w:rsid w:val="00E331A1"/>
    <w:rsid w:val="00E33202"/>
    <w:rsid w:val="00E336A9"/>
    <w:rsid w:val="00E472B1"/>
    <w:rsid w:val="00E50624"/>
    <w:rsid w:val="00E568DF"/>
    <w:rsid w:val="00E64269"/>
    <w:rsid w:val="00E82267"/>
    <w:rsid w:val="00E853CE"/>
    <w:rsid w:val="00E867B6"/>
    <w:rsid w:val="00EA010F"/>
    <w:rsid w:val="00ED1B63"/>
    <w:rsid w:val="00ED3C1F"/>
    <w:rsid w:val="00ED4085"/>
    <w:rsid w:val="00ED420E"/>
    <w:rsid w:val="00ED6FBE"/>
    <w:rsid w:val="00EE2F57"/>
    <w:rsid w:val="00EF4C34"/>
    <w:rsid w:val="00EF77C6"/>
    <w:rsid w:val="00F05438"/>
    <w:rsid w:val="00F1361C"/>
    <w:rsid w:val="00F156F0"/>
    <w:rsid w:val="00F160C7"/>
    <w:rsid w:val="00F2408F"/>
    <w:rsid w:val="00F240E9"/>
    <w:rsid w:val="00F36D8F"/>
    <w:rsid w:val="00F417B1"/>
    <w:rsid w:val="00F45853"/>
    <w:rsid w:val="00F602DF"/>
    <w:rsid w:val="00F754A1"/>
    <w:rsid w:val="00F81FD9"/>
    <w:rsid w:val="00F841AA"/>
    <w:rsid w:val="00F84A94"/>
    <w:rsid w:val="00F87E96"/>
    <w:rsid w:val="00FA23E8"/>
    <w:rsid w:val="00FD3CC1"/>
    <w:rsid w:val="00FF1E02"/>
    <w:rsid w:val="00FF30B4"/>
    <w:rsid w:val="01CC561F"/>
    <w:rsid w:val="023D293E"/>
    <w:rsid w:val="02587C53"/>
    <w:rsid w:val="04A9357F"/>
    <w:rsid w:val="04ED2F4A"/>
    <w:rsid w:val="053A62B5"/>
    <w:rsid w:val="05C06270"/>
    <w:rsid w:val="060139A4"/>
    <w:rsid w:val="06056862"/>
    <w:rsid w:val="06D52B18"/>
    <w:rsid w:val="08D61E31"/>
    <w:rsid w:val="0A2032A3"/>
    <w:rsid w:val="0B464891"/>
    <w:rsid w:val="0B8A37D8"/>
    <w:rsid w:val="0D9B4355"/>
    <w:rsid w:val="0FAD2C92"/>
    <w:rsid w:val="10C055FF"/>
    <w:rsid w:val="118107EC"/>
    <w:rsid w:val="11DD6519"/>
    <w:rsid w:val="11FC1C84"/>
    <w:rsid w:val="145931C0"/>
    <w:rsid w:val="16BB723D"/>
    <w:rsid w:val="17C05D2B"/>
    <w:rsid w:val="18015F3F"/>
    <w:rsid w:val="18565A16"/>
    <w:rsid w:val="19E3510B"/>
    <w:rsid w:val="1A1104E0"/>
    <w:rsid w:val="1B9F0A33"/>
    <w:rsid w:val="1BE8440E"/>
    <w:rsid w:val="1C1D6A6C"/>
    <w:rsid w:val="1D155CEE"/>
    <w:rsid w:val="1F3233D2"/>
    <w:rsid w:val="20F57F95"/>
    <w:rsid w:val="212B654C"/>
    <w:rsid w:val="212D10FE"/>
    <w:rsid w:val="2174059D"/>
    <w:rsid w:val="227E7A51"/>
    <w:rsid w:val="22C20E1B"/>
    <w:rsid w:val="23BD0E0D"/>
    <w:rsid w:val="240371BF"/>
    <w:rsid w:val="25711CC6"/>
    <w:rsid w:val="25C741E6"/>
    <w:rsid w:val="26C35EDD"/>
    <w:rsid w:val="27842671"/>
    <w:rsid w:val="280B656E"/>
    <w:rsid w:val="28700CDA"/>
    <w:rsid w:val="290702B1"/>
    <w:rsid w:val="29FD04D3"/>
    <w:rsid w:val="2ABE7A3E"/>
    <w:rsid w:val="2BD81BE9"/>
    <w:rsid w:val="2C2412FF"/>
    <w:rsid w:val="2C59335D"/>
    <w:rsid w:val="2CA234A8"/>
    <w:rsid w:val="2D333817"/>
    <w:rsid w:val="2EFA178C"/>
    <w:rsid w:val="308D6252"/>
    <w:rsid w:val="30B46D73"/>
    <w:rsid w:val="319F7F4E"/>
    <w:rsid w:val="353C1060"/>
    <w:rsid w:val="36AE1905"/>
    <w:rsid w:val="375C3BFF"/>
    <w:rsid w:val="383D272C"/>
    <w:rsid w:val="388B005D"/>
    <w:rsid w:val="38D229F6"/>
    <w:rsid w:val="3999325B"/>
    <w:rsid w:val="39AE70AB"/>
    <w:rsid w:val="3B335CBB"/>
    <w:rsid w:val="3C0C0783"/>
    <w:rsid w:val="3E723B83"/>
    <w:rsid w:val="3F9F3A96"/>
    <w:rsid w:val="41A122D7"/>
    <w:rsid w:val="4487414F"/>
    <w:rsid w:val="457529DA"/>
    <w:rsid w:val="48BF60AB"/>
    <w:rsid w:val="48D93480"/>
    <w:rsid w:val="493C27E9"/>
    <w:rsid w:val="496F39ED"/>
    <w:rsid w:val="49FF41D3"/>
    <w:rsid w:val="4AD34882"/>
    <w:rsid w:val="4BE068DB"/>
    <w:rsid w:val="4BF6002B"/>
    <w:rsid w:val="4C516D74"/>
    <w:rsid w:val="4D5A2A63"/>
    <w:rsid w:val="4DC219A6"/>
    <w:rsid w:val="4E355868"/>
    <w:rsid w:val="4ECE2238"/>
    <w:rsid w:val="5175503B"/>
    <w:rsid w:val="51C90F12"/>
    <w:rsid w:val="51DB4B86"/>
    <w:rsid w:val="52234B03"/>
    <w:rsid w:val="53B94BD7"/>
    <w:rsid w:val="5475511D"/>
    <w:rsid w:val="55333C3E"/>
    <w:rsid w:val="55760700"/>
    <w:rsid w:val="57212896"/>
    <w:rsid w:val="5A4C30A9"/>
    <w:rsid w:val="5BF348FE"/>
    <w:rsid w:val="5C5F24A5"/>
    <w:rsid w:val="5C980BC8"/>
    <w:rsid w:val="5D3F1164"/>
    <w:rsid w:val="5DD0497D"/>
    <w:rsid w:val="5E21105E"/>
    <w:rsid w:val="5EAC5F89"/>
    <w:rsid w:val="5FBF0E0E"/>
    <w:rsid w:val="5FDF9156"/>
    <w:rsid w:val="621500A7"/>
    <w:rsid w:val="63032918"/>
    <w:rsid w:val="6329434E"/>
    <w:rsid w:val="63FB7E15"/>
    <w:rsid w:val="64CA39A1"/>
    <w:rsid w:val="65B01F28"/>
    <w:rsid w:val="66B86039"/>
    <w:rsid w:val="67972F65"/>
    <w:rsid w:val="67F70B76"/>
    <w:rsid w:val="68A61B9E"/>
    <w:rsid w:val="69630ADE"/>
    <w:rsid w:val="6C4A05C8"/>
    <w:rsid w:val="6D3B1A89"/>
    <w:rsid w:val="6E0E0133"/>
    <w:rsid w:val="6E4875EA"/>
    <w:rsid w:val="6EB80153"/>
    <w:rsid w:val="6F5E29F5"/>
    <w:rsid w:val="70594F54"/>
    <w:rsid w:val="70924225"/>
    <w:rsid w:val="70FA04FB"/>
    <w:rsid w:val="711E68DF"/>
    <w:rsid w:val="71BF4EC2"/>
    <w:rsid w:val="71D0798D"/>
    <w:rsid w:val="72734D90"/>
    <w:rsid w:val="72957000"/>
    <w:rsid w:val="7412278C"/>
    <w:rsid w:val="74DC4AE7"/>
    <w:rsid w:val="79E7B28D"/>
    <w:rsid w:val="7A326E6D"/>
    <w:rsid w:val="7A6774E3"/>
    <w:rsid w:val="7CC974C5"/>
    <w:rsid w:val="7E3808B5"/>
    <w:rsid w:val="7E4C07E3"/>
    <w:rsid w:val="7E5C3A5C"/>
    <w:rsid w:val="7F9F20EE"/>
    <w:rsid w:val="9E3A10E2"/>
    <w:rsid w:val="F2E1F9D4"/>
    <w:rsid w:val="F788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7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link w:val="25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9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10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12">
    <w:name w:val="header"/>
    <w:basedOn w:val="1"/>
    <w:link w:val="2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4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paragraph" w:styleId="1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8">
    <w:name w:val="Strong"/>
    <w:basedOn w:val="17"/>
    <w:qFormat/>
    <w:uiPriority w:val="99"/>
    <w:rPr>
      <w:b/>
    </w:rPr>
  </w:style>
  <w:style w:type="character" w:styleId="19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0">
    <w:name w:val="Header Char"/>
    <w:basedOn w:val="17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1">
    <w:name w:val="页眉 字符"/>
    <w:link w:val="12"/>
    <w:semiHidden/>
    <w:qFormat/>
    <w:locked/>
    <w:uiPriority w:val="99"/>
    <w:rPr>
      <w:sz w:val="18"/>
    </w:rPr>
  </w:style>
  <w:style w:type="character" w:customStyle="1" w:styleId="22">
    <w:name w:val="Footer Char"/>
    <w:basedOn w:val="17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3">
    <w:name w:val="页脚 字符"/>
    <w:link w:val="11"/>
    <w:qFormat/>
    <w:locked/>
    <w:uiPriority w:val="99"/>
    <w:rPr>
      <w:sz w:val="18"/>
    </w:rPr>
  </w:style>
  <w:style w:type="character" w:customStyle="1" w:styleId="24">
    <w:name w:val="Body Text Char"/>
    <w:basedOn w:val="17"/>
    <w:semiHidden/>
    <w:qFormat/>
    <w:uiPriority w:val="99"/>
    <w:rPr>
      <w:rFonts w:ascii="Times New Roman" w:hAnsi="Times New Roman"/>
      <w:szCs w:val="24"/>
    </w:rPr>
  </w:style>
  <w:style w:type="character" w:customStyle="1" w:styleId="25">
    <w:name w:val="正文文本 字符"/>
    <w:link w:val="5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标题 1 字符"/>
    <w:basedOn w:val="17"/>
    <w:link w:val="6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9">
    <w:name w:val="标题 2 字符"/>
    <w:basedOn w:val="17"/>
    <w:link w:val="7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30">
    <w:name w:val="TOC 标题1"/>
    <w:basedOn w:val="6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1">
    <w:name w:val="批注框文本 字符"/>
    <w:basedOn w:val="17"/>
    <w:link w:val="10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32">
    <w:name w:val="标题 3 字符"/>
    <w:basedOn w:val="17"/>
    <w:link w:val="8"/>
    <w:qFormat/>
    <w:uiPriority w:val="9"/>
    <w:rPr>
      <w:rFonts w:ascii="Times New Roman" w:hAnsi="Times New Roman"/>
      <w:b/>
      <w:bCs/>
      <w:kern w:val="2"/>
      <w:sz w:val="32"/>
      <w:szCs w:val="32"/>
    </w:rPr>
  </w:style>
  <w:style w:type="paragraph" w:customStyle="1" w:styleId="33">
    <w:name w:val="TOC 标题2"/>
    <w:basedOn w:val="6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4">
    <w:name w:val="font41"/>
    <w:basedOn w:val="1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false"/>
      <c:spPr>
        <a:noFill/>
        <a:ln>
          <a:noFill/>
        </a:ln>
        <a:effectLst/>
      </c:spPr>
      <c:txPr>
        <a:bodyPr rot="0" spcFirstLastPara="0" vertOverflow="ellipsis" vert="horz" wrap="square" anchor="ctr" anchorCtr="true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false"/>
    <c:plotArea>
      <c:layout/>
      <c:pieChart>
        <c:varyColors val="true"/>
        <c:ser>
          <c:idx val="0"/>
          <c:order val="0"/>
          <c:tx>
            <c:strRef>
              <c:f>Sheet1!$B$1</c:f>
              <c:strCache>
                <c:ptCount val="1"/>
                <c:pt idx="0">
                  <c:v>收入决算</c:v>
                </c:pt>
              </c:strCache>
            </c:strRef>
          </c:tx>
          <c:spPr/>
          <c:explosion val="0"/>
          <c:dPt>
            <c:idx val="0"/>
            <c:bubble3D val="false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false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false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false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false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false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false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false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tru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一般公共预算财政拨款收入</c:v>
                </c:pt>
                <c:pt idx="1">
                  <c:v>政府性基金预算财政拨款</c:v>
                </c:pt>
                <c:pt idx="2">
                  <c:v>国有资本经营预算财政拨款收入</c:v>
                </c:pt>
                <c:pt idx="3">
                  <c:v>上级补助收入</c:v>
                </c:pt>
                <c:pt idx="4">
                  <c:v>事业收入</c:v>
                </c:pt>
                <c:pt idx="5">
                  <c:v>经营收入</c:v>
                </c:pt>
                <c:pt idx="6">
                  <c:v>附属单位上缴收入</c:v>
                </c:pt>
                <c:pt idx="7">
                  <c:v>其他收入</c:v>
                </c:pt>
              </c:strCache>
            </c:strRef>
          </c:cat>
          <c:val>
            <c:numRef>
              <c:f>Sheet1!$B$2:$B$9</c:f>
              <c:numCache>
                <c:formatCode>0.00%</c:formatCode>
                <c:ptCount val="8"/>
                <c:pt idx="0">
                  <c:v>0.3254</c:v>
                </c:pt>
                <c:pt idx="4">
                  <c:v>0.6569</c:v>
                </c:pt>
                <c:pt idx="7">
                  <c:v>0.0177</c:v>
                </c:pt>
              </c:numCache>
            </c:numRef>
          </c:val>
        </c:ser>
        <c:dLbls>
          <c:showLegendKey val="false"/>
          <c:showVal val="true"/>
          <c:showCatName val="false"/>
          <c:showSerName val="false"/>
          <c:showPercent val="false"/>
          <c:showBubbleSize val="false"/>
          <c:showLeaderLines val="true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false"/>
      <c:spPr>
        <a:noFill/>
        <a:ln>
          <a:noFill/>
        </a:ln>
        <a:effectLst/>
      </c:spPr>
      <c:txPr>
        <a:bodyPr rot="0" spcFirstLastPara="0" vertOverflow="ellipsis" vert="horz" wrap="square" anchor="ctr" anchorCtr="true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false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false"/>
      <c:spPr>
        <a:noFill/>
        <a:ln>
          <a:noFill/>
        </a:ln>
        <a:effectLst/>
      </c:spPr>
      <c:txPr>
        <a:bodyPr rot="0" spcFirstLastPara="0" vertOverflow="ellipsis" vert="horz" wrap="square" anchor="ctr" anchorCtr="true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false"/>
    <c:plotArea>
      <c:layout/>
      <c:pieChart>
        <c:varyColors val="true"/>
        <c:ser>
          <c:idx val="0"/>
          <c:order val="0"/>
          <c:tx>
            <c:strRef>
              <c:f>Sheet1!$B$1</c:f>
              <c:strCache>
                <c:ptCount val="1"/>
                <c:pt idx="0">
                  <c:v>支出决算</c:v>
                </c:pt>
              </c:strCache>
            </c:strRef>
          </c:tx>
          <c:spPr/>
          <c:explosion val="0"/>
          <c:dPt>
            <c:idx val="0"/>
            <c:bubble3D val="false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false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false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false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false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tru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基本支出</c:v>
                </c:pt>
                <c:pt idx="1">
                  <c:v>项目支出</c:v>
                </c:pt>
                <c:pt idx="2">
                  <c:v>上缴上级支出</c:v>
                </c:pt>
                <c:pt idx="3">
                  <c:v>经营支出</c:v>
                </c:pt>
                <c:pt idx="4">
                  <c:v>对附属单位补助支出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100</c:v>
                </c:pt>
              </c:numCache>
            </c:numRef>
          </c:val>
        </c:ser>
        <c:dLbls>
          <c:showLegendKey val="false"/>
          <c:showVal val="true"/>
          <c:showCatName val="false"/>
          <c:showSerName val="false"/>
          <c:showPercent val="false"/>
          <c:showBubbleSize val="false"/>
          <c:showLeaderLines val="true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false"/>
      <c:spPr>
        <a:noFill/>
        <a:ln>
          <a:noFill/>
        </a:ln>
        <a:effectLst/>
      </c:spPr>
      <c:txPr>
        <a:bodyPr rot="0" spcFirstLastPara="0" vertOverflow="ellipsis" vert="horz" wrap="square" anchor="ctr" anchorCtr="true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false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false"/>
      <c:spPr>
        <a:noFill/>
        <a:ln>
          <a:noFill/>
        </a:ln>
        <a:effectLst/>
      </c:spPr>
      <c:txPr>
        <a:bodyPr rot="0" spcFirstLastPara="0" vertOverflow="ellipsis" vert="horz" wrap="square" anchor="ctr" anchorCtr="true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false"/>
    <c:plotArea>
      <c:layout/>
      <c:pieChart>
        <c:varyColors val="true"/>
        <c:ser>
          <c:idx val="0"/>
          <c:order val="0"/>
          <c:tx>
            <c:strRef>
              <c:f>Sheet1!$B$1</c:f>
              <c:strCache>
                <c:ptCount val="1"/>
                <c:pt idx="0">
                  <c:v>一般公共预算财政拨款支出决算结构</c:v>
                </c:pt>
              </c:strCache>
            </c:strRef>
          </c:tx>
          <c:spPr/>
          <c:explosion val="0"/>
          <c:dPt>
            <c:idx val="0"/>
            <c:bubble3D val="false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false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false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tru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社会保障和就业支出</c:v>
                </c:pt>
                <c:pt idx="1">
                  <c:v>卫生健康支出</c:v>
                </c:pt>
                <c:pt idx="2">
                  <c:v>住房保障支出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0.0685</c:v>
                </c:pt>
                <c:pt idx="1">
                  <c:v>0.9314</c:v>
                </c:pt>
                <c:pt idx="2">
                  <c:v>0.0001</c:v>
                </c:pt>
              </c:numCache>
            </c:numRef>
          </c:val>
        </c:ser>
        <c:dLbls>
          <c:showLegendKey val="false"/>
          <c:showVal val="false"/>
          <c:showCatName val="false"/>
          <c:showSerName val="false"/>
          <c:showPercent val="false"/>
          <c:showBubbleSize val="false"/>
          <c:showLeaderLines val="true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false"/>
      <c:spPr>
        <a:noFill/>
        <a:ln>
          <a:noFill/>
        </a:ln>
        <a:effectLst/>
      </c:spPr>
      <c:txPr>
        <a:bodyPr rot="0" spcFirstLastPara="0" vertOverflow="ellipsis" vert="horz" wrap="square" anchor="ctr" anchorCtr="true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false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17</Pages>
  <Words>5489</Words>
  <Characters>5884</Characters>
  <Lines>5</Lines>
  <Paragraphs>11</Paragraphs>
  <TotalTime>11</TotalTime>
  <ScaleCrop>false</ScaleCrop>
  <LinksUpToDate>false</LinksUpToDate>
  <CharactersWithSpaces>6352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2020-08-05T09:49:00Z</dcterms:created>
  <dc:creator>曹颖</dc:creator>
  <cp:lastModifiedBy>user</cp:lastModifiedBy>
  <cp:lastPrinted>2023-07-31T10:35:00Z</cp:lastPrinted>
  <dcterms:modified xsi:type="dcterms:W3CDTF">2023-11-30T09:09:36Z</dcterms:modified>
  <dc:title>四川省***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525D800A341D4994B469B935D44D340B_13</vt:lpwstr>
  </property>
</Properties>
</file>