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ascii="方正小标宋简体" w:hAnsi="宋体" w:eastAsia="方正小标宋简体"/>
          <w:szCs w:val="21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sz w:val="72"/>
          <w:szCs w:val="72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1" w:name="_Toc26873"/>
      <w:bookmarkStart w:id="2" w:name="_Toc15378441"/>
      <w:bookmarkStart w:id="3" w:name="_Toc15396475"/>
      <w:bookmarkStart w:id="4" w:name="_Toc15396597"/>
      <w:bookmarkStart w:id="5" w:name="_Toc15377193"/>
      <w:bookmarkStart w:id="6" w:name="_Toc15377425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2022年度</w:t>
      </w:r>
      <w:bookmarkEnd w:id="1"/>
      <w:bookmarkEnd w:id="2"/>
      <w:bookmarkEnd w:id="3"/>
      <w:bookmarkEnd w:id="4"/>
      <w:bookmarkEnd w:id="5"/>
      <w:bookmarkEnd w:id="6"/>
    </w:p>
    <w:p>
      <w:pPr>
        <w:adjustRightInd w:val="0"/>
        <w:snapToGrid w:val="0"/>
        <w:spacing w:line="360" w:lineRule="auto"/>
        <w:jc w:val="center"/>
        <w:outlineLvl w:val="0"/>
        <w:rPr>
          <w:rFonts w:ascii="方正小标宋简体" w:hAnsi="方正小标宋简体" w:eastAsia="方正小标宋简体" w:cs="方正小标宋简体"/>
          <w:sz w:val="72"/>
          <w:szCs w:val="72"/>
        </w:rPr>
      </w:pPr>
      <w:bookmarkStart w:id="7" w:name="_Toc15396476"/>
      <w:bookmarkStart w:id="8" w:name="_Toc15377194"/>
      <w:bookmarkStart w:id="9" w:name="_Toc15377426"/>
      <w:bookmarkStart w:id="10" w:name="_Toc15396598"/>
      <w:bookmarkStart w:id="11" w:name="_Toc15378442"/>
      <w:bookmarkStart w:id="12" w:name="_Toc12650"/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剑阁县</w:t>
      </w:r>
      <w:bookmarkEnd w:id="0"/>
      <w:bookmarkStart w:id="13" w:name="_Toc15306268"/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盐店镇西庙卫生院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单位决算</w:t>
      </w:r>
      <w:bookmarkEnd w:id="7"/>
      <w:bookmarkEnd w:id="8"/>
      <w:bookmarkEnd w:id="9"/>
      <w:bookmarkEnd w:id="10"/>
      <w:bookmarkEnd w:id="11"/>
      <w:bookmarkEnd w:id="12"/>
      <w:bookmarkEnd w:id="13"/>
    </w:p>
    <w:p>
      <w:pPr>
        <w:widowControl/>
        <w:jc w:val="center"/>
        <w:rPr>
          <w:rFonts w:ascii="黑体" w:hAnsi="黑体" w:eastAsia="黑体"/>
          <w:sz w:val="48"/>
          <w:szCs w:val="48"/>
        </w:rPr>
      </w:pPr>
      <w:r>
        <w:rPr>
          <w:rFonts w:ascii="方正小标宋简体" w:hAnsi="宋体" w:eastAsia="方正小标宋简体"/>
          <w:sz w:val="36"/>
          <w:szCs w:val="36"/>
        </w:rPr>
        <w:br w:type="page"/>
      </w:r>
      <w:r>
        <w:rPr>
          <w:rFonts w:hint="eastAsia" w:ascii="黑体" w:hAnsi="黑体" w:eastAsia="黑体"/>
          <w:sz w:val="48"/>
          <w:szCs w:val="48"/>
        </w:rPr>
        <w:t>目录</w:t>
      </w:r>
    </w:p>
    <w:p>
      <w:pPr>
        <w:widowControl/>
        <w:jc w:val="center"/>
        <w:rPr>
          <w:rFonts w:ascii="黑体" w:hAnsi="黑体" w:eastAsia="黑体" w:cstheme="minorBidi"/>
          <w:sz w:val="28"/>
          <w:szCs w:val="28"/>
        </w:rPr>
      </w:pPr>
    </w:p>
    <w:p>
      <w:pPr>
        <w:pStyle w:val="14"/>
      </w:pPr>
      <w:r>
        <w:rPr>
          <w:rFonts w:hint="eastAsia"/>
        </w:rPr>
        <w:t xml:space="preserve">公开时间：2023年 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 xml:space="preserve"> 日</w:t>
      </w:r>
    </w:p>
    <w:p/>
    <w:p>
      <w:pPr>
        <w:pStyle w:val="14"/>
        <w:tabs>
          <w:tab w:val="right" w:leader="dot" w:pos="8306"/>
          <w:tab w:val="clear" w:pos="8296"/>
        </w:tabs>
      </w:pPr>
      <w:r>
        <w:rPr>
          <w:sz w:val="24"/>
        </w:rPr>
        <w:fldChar w:fldCharType="begin"/>
      </w:r>
      <w:r>
        <w:rPr>
          <w:sz w:val="24"/>
        </w:rPr>
        <w:instrText xml:space="preserve">TOC \o "1-9" \h \u </w:instrText>
      </w:r>
      <w:r>
        <w:rPr>
          <w:sz w:val="24"/>
        </w:rPr>
        <w:fldChar w:fldCharType="separate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_Toc15517 </w:instrText>
      </w:r>
      <w:r>
        <w:fldChar w:fldCharType="separate"/>
      </w:r>
      <w:r>
        <w:rPr>
          <w:rFonts w:hint="eastAsia" w:ascii="黑体" w:hAnsi="黑体" w:eastAsia="黑体"/>
        </w:rPr>
        <w:t>第一部分 单位</w:t>
      </w:r>
      <w:r>
        <w:rPr>
          <w:rFonts w:hint="eastAsia" w:ascii="黑体" w:hAnsi="黑体" w:eastAsia="黑体"/>
          <w:bCs w:val="0"/>
        </w:rPr>
        <w:t>概况</w:t>
      </w:r>
      <w:r>
        <w:tab/>
      </w:r>
      <w:r>
        <w:fldChar w:fldCharType="begin"/>
      </w:r>
      <w:r>
        <w:instrText xml:space="preserve"> PAGEREF _Toc15517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_Toc15454 </w:instrText>
      </w:r>
      <w:r>
        <w:fldChar w:fldCharType="separate"/>
      </w:r>
      <w:r>
        <w:rPr>
          <w:rFonts w:hint="eastAsia" w:ascii="黑体" w:hAnsi="黑体" w:eastAsia="黑体"/>
          <w:bCs w:val="0"/>
        </w:rPr>
        <w:t>一、 主要职责</w:t>
      </w:r>
      <w:r>
        <w:tab/>
      </w:r>
      <w:r>
        <w:fldChar w:fldCharType="begin"/>
      </w:r>
      <w:r>
        <w:instrText xml:space="preserve"> PAGEREF _Toc15454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_Toc11324 </w:instrText>
      </w:r>
      <w:r>
        <w:fldChar w:fldCharType="separate"/>
      </w:r>
      <w:r>
        <w:rPr>
          <w:rFonts w:hint="eastAsia"/>
          <w:lang w:val="en-US" w:eastAsia="zh-CN"/>
        </w:rPr>
        <w:t>二</w:t>
      </w:r>
      <w:r>
        <w:rPr>
          <w:rFonts w:hint="eastAsia" w:ascii="黑体" w:hAnsi="黑体" w:eastAsia="黑体"/>
          <w:bCs w:val="0"/>
          <w:lang w:val="en-US" w:eastAsia="zh-CN" w:bidi="ar-SA"/>
        </w:rPr>
        <w:t>、2022年重点工作</w:t>
      </w:r>
      <w:r>
        <w:tab/>
      </w:r>
      <w:r>
        <w:fldChar w:fldCharType="begin"/>
      </w:r>
      <w:r>
        <w:instrText xml:space="preserve"> PAGEREF _Toc11324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_Toc21940 </w:instrText>
      </w:r>
      <w:r>
        <w:fldChar w:fldCharType="separate"/>
      </w:r>
      <w:r>
        <w:rPr>
          <w:rFonts w:hint="eastAsia" w:ascii="黑体" w:hAnsi="黑体" w:eastAsia="黑体"/>
          <w:lang w:val="en-US" w:eastAsia="zh-CN"/>
        </w:rPr>
        <w:t>三</w:t>
      </w:r>
      <w:r>
        <w:rPr>
          <w:rFonts w:hint="eastAsia" w:ascii="黑体" w:hAnsi="黑体" w:eastAsia="黑体"/>
        </w:rPr>
        <w:t>、 机构设置</w:t>
      </w:r>
      <w:r>
        <w:tab/>
      </w:r>
      <w:r>
        <w:fldChar w:fldCharType="begin"/>
      </w:r>
      <w:r>
        <w:instrText xml:space="preserve"> PAGEREF _Toc21940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_Toc23234 </w:instrText>
      </w:r>
      <w:r>
        <w:fldChar w:fldCharType="separate"/>
      </w:r>
      <w:r>
        <w:rPr>
          <w:rFonts w:hint="eastAsia" w:ascii="黑体" w:hAnsi="黑体" w:eastAsia="黑体"/>
        </w:rPr>
        <w:t>第二部分 2022年度</w:t>
      </w:r>
      <w:r>
        <w:rPr>
          <w:rFonts w:hint="eastAsia" w:ascii="黑体" w:hAnsi="黑体" w:eastAsia="黑体"/>
          <w:bCs/>
        </w:rPr>
        <w:t>单位决算情况说明</w:t>
      </w:r>
      <w:r>
        <w:tab/>
      </w:r>
      <w:r>
        <w:fldChar w:fldCharType="begin"/>
      </w:r>
      <w:r>
        <w:instrText xml:space="preserve"> PAGEREF _Toc23234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_Toc16680 </w:instrText>
      </w:r>
      <w:r>
        <w:fldChar w:fldCharType="separate"/>
      </w:r>
      <w:r>
        <w:rPr>
          <w:rFonts w:hint="default" w:ascii="黑体" w:hAnsi="黑体" w:eastAsia="黑体"/>
        </w:rPr>
        <w:t xml:space="preserve">一、 </w:t>
      </w:r>
      <w:r>
        <w:rPr>
          <w:rFonts w:hint="eastAsia" w:ascii="黑体" w:hAnsi="黑体" w:eastAsia="黑体"/>
          <w:szCs w:val="32"/>
        </w:rPr>
        <w:t>收</w:t>
      </w:r>
      <w:r>
        <w:rPr>
          <w:rFonts w:hint="eastAsia" w:ascii="黑体" w:hAnsi="黑体" w:eastAsia="黑体"/>
        </w:rPr>
        <w:t>入支出决算总体情况说明</w:t>
      </w:r>
      <w:r>
        <w:tab/>
      </w:r>
      <w:r>
        <w:fldChar w:fldCharType="begin"/>
      </w:r>
      <w:r>
        <w:instrText xml:space="preserve"> PAGEREF _Toc16680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_Toc32633 </w:instrText>
      </w:r>
      <w:r>
        <w:fldChar w:fldCharType="separate"/>
      </w:r>
      <w:r>
        <w:rPr>
          <w:rFonts w:hint="default" w:ascii="黑体" w:hAnsi="黑体" w:eastAsia="黑体"/>
        </w:rPr>
        <w:t xml:space="preserve">二、 </w:t>
      </w:r>
      <w:r>
        <w:rPr>
          <w:rFonts w:hint="eastAsia" w:ascii="黑体" w:hAnsi="黑体" w:eastAsia="黑体"/>
          <w:szCs w:val="32"/>
        </w:rPr>
        <w:t>收</w:t>
      </w:r>
      <w:r>
        <w:rPr>
          <w:rFonts w:hint="eastAsia" w:ascii="黑体" w:hAnsi="黑体" w:eastAsia="黑体"/>
        </w:rPr>
        <w:t>入决算情况说明</w:t>
      </w:r>
      <w:r>
        <w:tab/>
      </w:r>
      <w:r>
        <w:fldChar w:fldCharType="begin"/>
      </w:r>
      <w:r>
        <w:instrText xml:space="preserve"> PAGEREF _Toc32633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  <w:ind w:left="0" w:leftChars="0" w:firstLine="420" w:firstLineChars="200"/>
      </w:pPr>
      <w:r>
        <w:fldChar w:fldCharType="begin"/>
      </w:r>
      <w:r>
        <w:instrText xml:space="preserve"> HYPERLINK \l _Toc4250 </w:instrText>
      </w:r>
      <w:r>
        <w:fldChar w:fldCharType="separate"/>
      </w:r>
      <w:r>
        <w:rPr>
          <w:rFonts w:hint="default" w:ascii="黑体" w:hAnsi="黑体" w:eastAsia="黑体"/>
        </w:rPr>
        <w:t xml:space="preserve">三、 </w:t>
      </w:r>
      <w:r>
        <w:rPr>
          <w:rFonts w:hint="eastAsia" w:ascii="黑体" w:hAnsi="黑体" w:eastAsia="黑体"/>
          <w:szCs w:val="32"/>
        </w:rPr>
        <w:t>支</w:t>
      </w:r>
      <w:r>
        <w:rPr>
          <w:rFonts w:hint="eastAsia" w:ascii="黑体" w:hAnsi="黑体" w:eastAsia="黑体"/>
        </w:rPr>
        <w:t>出决算情况说明</w:t>
      </w:r>
      <w:r>
        <w:tab/>
      </w:r>
      <w:r>
        <w:fldChar w:fldCharType="begin"/>
      </w:r>
      <w:r>
        <w:instrText xml:space="preserve"> PAGEREF _Toc4250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_Toc32582 </w:instrText>
      </w:r>
      <w:r>
        <w:fldChar w:fldCharType="separate"/>
      </w:r>
      <w:r>
        <w:rPr>
          <w:rFonts w:hint="eastAsia" w:ascii="黑体" w:hAnsi="黑体" w:eastAsia="黑体"/>
          <w:szCs w:val="32"/>
        </w:rPr>
        <w:t>四、财</w:t>
      </w:r>
      <w:r>
        <w:rPr>
          <w:rFonts w:hint="eastAsia" w:ascii="黑体" w:hAnsi="黑体" w:eastAsia="黑体"/>
        </w:rPr>
        <w:t>政拨款收入支出决算总体情况说明</w:t>
      </w:r>
      <w:r>
        <w:tab/>
      </w:r>
      <w:r>
        <w:fldChar w:fldCharType="begin"/>
      </w:r>
      <w:r>
        <w:instrText xml:space="preserve"> PAGEREF _Toc32582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_Toc30849 </w:instrText>
      </w:r>
      <w:r>
        <w:fldChar w:fldCharType="separate"/>
      </w:r>
      <w:r>
        <w:rPr>
          <w:rFonts w:hint="eastAsia" w:ascii="黑体" w:hAnsi="黑体" w:eastAsia="黑体"/>
          <w:szCs w:val="32"/>
        </w:rPr>
        <w:t>五、一</w:t>
      </w:r>
      <w:r>
        <w:rPr>
          <w:rFonts w:hint="eastAsia" w:ascii="黑体" w:hAnsi="黑体" w:eastAsia="黑体"/>
        </w:rPr>
        <w:t>般公共预算财政拨款支出决算情况说明</w:t>
      </w:r>
      <w:r>
        <w:tab/>
      </w:r>
      <w:r>
        <w:fldChar w:fldCharType="begin"/>
      </w:r>
      <w:r>
        <w:instrText xml:space="preserve"> PAGEREF _Toc30849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  <w:ind w:left="0" w:leftChars="0" w:firstLine="420" w:firstLineChars="200"/>
      </w:pPr>
      <w:r>
        <w:fldChar w:fldCharType="begin"/>
      </w:r>
      <w:r>
        <w:instrText xml:space="preserve"> HYPERLINK \l _Toc24886 </w:instrText>
      </w:r>
      <w:r>
        <w:fldChar w:fldCharType="separate"/>
      </w:r>
      <w:r>
        <w:rPr>
          <w:rFonts w:hint="eastAsia" w:ascii="黑体" w:eastAsia="黑体"/>
          <w:szCs w:val="32"/>
        </w:rPr>
        <w:t>六、</w:t>
      </w:r>
      <w:r>
        <w:rPr>
          <w:rFonts w:hint="eastAsia" w:ascii="黑体" w:hAnsi="黑体" w:eastAsia="黑体"/>
          <w:szCs w:val="32"/>
        </w:rPr>
        <w:t>一</w:t>
      </w:r>
      <w:r>
        <w:rPr>
          <w:rFonts w:hint="eastAsia" w:ascii="黑体" w:hAnsi="黑体" w:eastAsia="黑体"/>
        </w:rPr>
        <w:t>般公共预算财政拨款基本支出决算情况说明</w:t>
      </w:r>
      <w:r>
        <w:tab/>
      </w:r>
      <w:r>
        <w:fldChar w:fldCharType="begin"/>
      </w:r>
      <w:r>
        <w:instrText xml:space="preserve"> PAGEREF _Toc24886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_Toc11898 </w:instrText>
      </w:r>
      <w:r>
        <w:fldChar w:fldCharType="separate"/>
      </w:r>
      <w:r>
        <w:rPr>
          <w:rFonts w:hint="eastAsia" w:ascii="黑体" w:eastAsia="黑体"/>
          <w:szCs w:val="32"/>
        </w:rPr>
        <w:t>七、</w:t>
      </w:r>
      <w:r>
        <w:rPr>
          <w:rFonts w:hint="eastAsia" w:ascii="黑体" w:hAnsi="黑体" w:eastAsia="黑体"/>
        </w:rPr>
        <w:t>财政拨款“三公”经费支出决算情况说明</w:t>
      </w:r>
      <w:r>
        <w:tab/>
      </w:r>
      <w:r>
        <w:fldChar w:fldCharType="begin"/>
      </w:r>
      <w:r>
        <w:instrText xml:space="preserve"> PAGEREF _Toc11898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  <w:ind w:left="0" w:leftChars="0" w:firstLine="420" w:firstLineChars="200"/>
      </w:pPr>
      <w:r>
        <w:fldChar w:fldCharType="begin"/>
      </w:r>
      <w:r>
        <w:instrText xml:space="preserve"> HYPERLINK \l _Toc24903 </w:instrText>
      </w:r>
      <w:r>
        <w:fldChar w:fldCharType="separate"/>
      </w:r>
      <w:r>
        <w:rPr>
          <w:rFonts w:hint="eastAsia" w:ascii="黑体" w:eastAsia="黑体"/>
          <w:szCs w:val="32"/>
        </w:rPr>
        <w:t>八、</w:t>
      </w:r>
      <w:r>
        <w:rPr>
          <w:rFonts w:hint="eastAsia" w:ascii="黑体" w:hAnsi="黑体" w:eastAsia="黑体"/>
        </w:rPr>
        <w:t>政府性基金预算支出决算情况说明</w:t>
      </w:r>
      <w:r>
        <w:tab/>
      </w:r>
      <w:r>
        <w:fldChar w:fldCharType="begin"/>
      </w:r>
      <w:r>
        <w:instrText xml:space="preserve"> PAGEREF _Toc24903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_Toc14004 </w:instrText>
      </w:r>
      <w:r>
        <w:fldChar w:fldCharType="separate"/>
      </w:r>
      <w:r>
        <w:rPr>
          <w:rFonts w:hint="eastAsia" w:ascii="黑体" w:hAnsi="黑体" w:eastAsia="黑体"/>
        </w:rPr>
        <w:t>九、 国有资本经营预算支出决算情况说明</w:t>
      </w:r>
      <w:r>
        <w:tab/>
      </w:r>
      <w:r>
        <w:fldChar w:fldCharType="begin"/>
      </w:r>
      <w:r>
        <w:instrText xml:space="preserve"> PAGEREF _Toc14004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_Toc24209 </w:instrText>
      </w:r>
      <w:r>
        <w:fldChar w:fldCharType="separate"/>
      </w:r>
      <w:r>
        <w:rPr>
          <w:rFonts w:hint="eastAsia" w:ascii="黑体" w:hAnsi="黑体" w:eastAsia="黑体"/>
        </w:rPr>
        <w:t>十、 其他重要事项的情况说明</w:t>
      </w:r>
      <w:r>
        <w:tab/>
      </w:r>
      <w:r>
        <w:fldChar w:fldCharType="begin"/>
      </w:r>
      <w:r>
        <w:instrText xml:space="preserve"> PAGEREF _Toc24209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9"/>
        <w:tabs>
          <w:tab w:val="right" w:leader="dot" w:pos="8306"/>
          <w:tab w:val="clear" w:pos="8296"/>
        </w:tabs>
      </w:pPr>
      <w:bookmarkStart w:id="111" w:name="_GoBack"/>
    </w:p>
    <w:bookmarkEnd w:id="111"/>
    <w:p>
      <w:pPr>
        <w:pStyle w:val="14"/>
        <w:tabs>
          <w:tab w:val="right" w:leader="dot" w:pos="8306"/>
          <w:tab w:val="clear" w:pos="8296"/>
        </w:tabs>
        <w:jc w:val="both"/>
      </w:pPr>
      <w:r>
        <w:fldChar w:fldCharType="begin"/>
      </w:r>
      <w:r>
        <w:instrText xml:space="preserve"> HYPERLINK \l _Toc2229 </w:instrText>
      </w:r>
      <w:r>
        <w:fldChar w:fldCharType="separate"/>
      </w:r>
      <w:r>
        <w:rPr>
          <w:rFonts w:hint="eastAsia" w:ascii="黑体" w:hAnsi="黑体" w:eastAsia="黑体" w:cs="黑体"/>
          <w:szCs w:val="44"/>
        </w:rPr>
        <w:t xml:space="preserve">第三部分 </w:t>
      </w:r>
      <w:r>
        <w:rPr>
          <w:rFonts w:hint="eastAsia" w:ascii="黑体" w:hAnsi="黑体" w:eastAsia="黑体"/>
          <w:szCs w:val="44"/>
        </w:rPr>
        <w:t>名</w:t>
      </w:r>
      <w:r>
        <w:rPr>
          <w:rFonts w:hint="eastAsia" w:ascii="黑体" w:hAnsi="黑体" w:eastAsia="黑体"/>
        </w:rPr>
        <w:t>词解释</w:t>
      </w:r>
      <w:r>
        <w:tab/>
      </w:r>
      <w:r>
        <w:fldChar w:fldCharType="begin"/>
      </w:r>
      <w:r>
        <w:instrText xml:space="preserve"> PAGEREF _Toc2229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_Toc13316 </w:instrText>
      </w:r>
      <w:r>
        <w:fldChar w:fldCharType="separate"/>
      </w:r>
      <w:r>
        <w:rPr>
          <w:rFonts w:hint="eastAsia" w:ascii="黑体" w:hAnsi="黑体" w:eastAsia="黑体"/>
          <w:szCs w:val="44"/>
        </w:rPr>
        <w:t>第</w:t>
      </w:r>
      <w:r>
        <w:rPr>
          <w:rFonts w:hint="eastAsia" w:ascii="黑体" w:hAnsi="黑体" w:eastAsia="黑体"/>
          <w:lang w:eastAsia="zh-CN"/>
        </w:rPr>
        <w:t>四</w:t>
      </w:r>
      <w:r>
        <w:rPr>
          <w:rFonts w:hint="eastAsia" w:ascii="黑体" w:hAnsi="黑体" w:eastAsia="黑体"/>
        </w:rPr>
        <w:t>部分 附表</w:t>
      </w:r>
      <w:r>
        <w:tab/>
      </w:r>
      <w:r>
        <w:fldChar w:fldCharType="begin"/>
      </w:r>
      <w:r>
        <w:instrText xml:space="preserve"> PAGEREF _Toc13316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_Toc18642 </w:instrText>
      </w:r>
      <w:r>
        <w:fldChar w:fldCharType="separate"/>
      </w:r>
      <w:r>
        <w:rPr>
          <w:rFonts w:hint="eastAsia" w:ascii="仿宋" w:hAnsi="仿宋" w:eastAsia="仿宋"/>
        </w:rPr>
        <w:t>一、收</w:t>
      </w:r>
      <w:r>
        <w:rPr>
          <w:rFonts w:hint="eastAsia" w:ascii="仿宋" w:hAnsi="仿宋" w:eastAsia="仿宋"/>
          <w:bCs w:val="0"/>
        </w:rPr>
        <w:t>入支出决算总表</w:t>
      </w:r>
      <w:r>
        <w:tab/>
      </w:r>
      <w:r>
        <w:fldChar w:fldCharType="begin"/>
      </w:r>
      <w:r>
        <w:instrText xml:space="preserve"> PAGEREF _Toc18642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_Toc14170 </w:instrText>
      </w:r>
      <w:r>
        <w:fldChar w:fldCharType="separate"/>
      </w:r>
      <w:r>
        <w:rPr>
          <w:rFonts w:hint="eastAsia" w:ascii="仿宋" w:hAnsi="仿宋" w:eastAsia="仿宋"/>
        </w:rPr>
        <w:t>二、收</w:t>
      </w:r>
      <w:r>
        <w:rPr>
          <w:rFonts w:hint="eastAsia" w:ascii="仿宋" w:hAnsi="仿宋" w:eastAsia="仿宋"/>
          <w:bCs w:val="0"/>
        </w:rPr>
        <w:t>入决算表</w:t>
      </w:r>
      <w:r>
        <w:tab/>
      </w:r>
      <w:r>
        <w:fldChar w:fldCharType="begin"/>
      </w:r>
      <w:r>
        <w:instrText xml:space="preserve"> PAGEREF _Toc14170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_Toc18846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三、</w:t>
      </w:r>
      <w:r>
        <w:rPr>
          <w:rFonts w:hint="eastAsia" w:ascii="仿宋" w:hAnsi="仿宋" w:eastAsia="仿宋"/>
        </w:rPr>
        <w:t>支</w:t>
      </w:r>
      <w:r>
        <w:rPr>
          <w:rFonts w:hint="eastAsia" w:ascii="仿宋" w:hAnsi="仿宋" w:eastAsia="仿宋"/>
          <w:bCs w:val="0"/>
        </w:rPr>
        <w:t>出决算表</w:t>
      </w:r>
      <w:r>
        <w:tab/>
      </w:r>
      <w:r>
        <w:fldChar w:fldCharType="begin"/>
      </w:r>
      <w:r>
        <w:instrText xml:space="preserve"> PAGEREF _Toc18846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_Toc2863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四、</w:t>
      </w:r>
      <w:r>
        <w:rPr>
          <w:rFonts w:hint="eastAsia" w:ascii="仿宋" w:hAnsi="仿宋" w:eastAsia="仿宋"/>
        </w:rPr>
        <w:t>财</w:t>
      </w:r>
      <w:r>
        <w:rPr>
          <w:rFonts w:hint="eastAsia" w:ascii="仿宋" w:hAnsi="仿宋" w:eastAsia="仿宋"/>
          <w:bCs w:val="0"/>
        </w:rPr>
        <w:t>政拨款收入支出决算总表</w:t>
      </w:r>
      <w:r>
        <w:tab/>
      </w:r>
      <w:r>
        <w:fldChar w:fldCharType="begin"/>
      </w:r>
      <w:r>
        <w:instrText xml:space="preserve"> PAGEREF _Toc2863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_Toc26517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五、</w:t>
      </w:r>
      <w:r>
        <w:rPr>
          <w:rFonts w:hint="eastAsia" w:ascii="仿宋" w:hAnsi="仿宋" w:eastAsia="仿宋"/>
        </w:rPr>
        <w:t>财</w:t>
      </w:r>
      <w:r>
        <w:rPr>
          <w:rFonts w:hint="eastAsia" w:ascii="仿宋" w:hAnsi="仿宋" w:eastAsia="仿宋"/>
          <w:bCs w:val="0"/>
        </w:rPr>
        <w:t>政拨款支出决算明细表</w:t>
      </w:r>
      <w:r>
        <w:tab/>
      </w:r>
      <w:r>
        <w:fldChar w:fldCharType="begin"/>
      </w:r>
      <w:r>
        <w:instrText xml:space="preserve"> PAGEREF _Toc26517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_Toc4228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六、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般公共预算财政拨款支出决算表</w:t>
      </w:r>
      <w:r>
        <w:tab/>
      </w:r>
      <w:r>
        <w:fldChar w:fldCharType="begin"/>
      </w:r>
      <w:r>
        <w:instrText xml:space="preserve"> PAGEREF _Toc4228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_Toc14079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七、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般公共预算财政拨款支出决算明细表</w:t>
      </w:r>
      <w:r>
        <w:tab/>
      </w:r>
      <w:r>
        <w:fldChar w:fldCharType="begin"/>
      </w:r>
      <w:r>
        <w:instrText xml:space="preserve"> PAGEREF _Toc14079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_Toc3241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八、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般公共预算财政拨款基本支出决算表</w:t>
      </w:r>
      <w:r>
        <w:tab/>
      </w:r>
      <w:r>
        <w:fldChar w:fldCharType="begin"/>
      </w:r>
      <w:r>
        <w:instrText xml:space="preserve"> PAGEREF _Toc3241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_Toc27015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九、</w:t>
      </w:r>
      <w:r>
        <w:rPr>
          <w:rFonts w:hint="eastAsia" w:ascii="仿宋" w:hAnsi="仿宋" w:eastAsia="仿宋"/>
        </w:rPr>
        <w:t>一</w:t>
      </w:r>
      <w:r>
        <w:rPr>
          <w:rFonts w:hint="eastAsia" w:ascii="仿宋" w:hAnsi="仿宋" w:eastAsia="仿宋"/>
          <w:bCs w:val="0"/>
        </w:rPr>
        <w:t>般公共预算财政拨款项目支出决算表</w:t>
      </w:r>
      <w:r>
        <w:tab/>
      </w:r>
      <w:r>
        <w:fldChar w:fldCharType="begin"/>
      </w:r>
      <w:r>
        <w:instrText xml:space="preserve"> PAGEREF _Toc27015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_Toc19919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十、</w:t>
      </w:r>
      <w:r>
        <w:rPr>
          <w:rFonts w:hint="eastAsia" w:ascii="仿宋" w:hAnsi="仿宋" w:eastAsia="仿宋"/>
        </w:rPr>
        <w:t>政</w:t>
      </w:r>
      <w:r>
        <w:rPr>
          <w:rFonts w:hint="eastAsia" w:ascii="仿宋" w:hAnsi="仿宋" w:eastAsia="仿宋"/>
          <w:bCs w:val="0"/>
        </w:rPr>
        <w:t>府性基金预算财政拨款收入支出决算表</w:t>
      </w:r>
      <w:r>
        <w:tab/>
      </w:r>
      <w:r>
        <w:fldChar w:fldCharType="begin"/>
      </w:r>
      <w:r>
        <w:instrText xml:space="preserve"> PAGEREF _Toc19919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_Toc13059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十一、</w:t>
      </w:r>
      <w:r>
        <w:rPr>
          <w:rFonts w:hint="eastAsia" w:ascii="仿宋" w:hAnsi="仿宋" w:eastAsia="仿宋"/>
        </w:rPr>
        <w:t>国</w:t>
      </w:r>
      <w:r>
        <w:rPr>
          <w:rFonts w:hint="eastAsia" w:ascii="仿宋" w:hAnsi="仿宋" w:eastAsia="仿宋"/>
          <w:bCs w:val="0"/>
        </w:rPr>
        <w:t>有资本经营预算财政拨款收入支出决算表</w:t>
      </w:r>
      <w:r>
        <w:tab/>
      </w:r>
      <w:r>
        <w:fldChar w:fldCharType="begin"/>
      </w:r>
      <w:r>
        <w:instrText xml:space="preserve"> PAGEREF _Toc13059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_Toc1326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十二、国有资本经营预算财政拨款支出决算表</w:t>
      </w:r>
      <w:r>
        <w:tab/>
      </w:r>
      <w:r>
        <w:fldChar w:fldCharType="begin"/>
      </w:r>
      <w:r>
        <w:instrText xml:space="preserve"> PAGEREF _Toc1326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306"/>
          <w:tab w:val="clear" w:pos="8296"/>
        </w:tabs>
      </w:pPr>
      <w:r>
        <w:fldChar w:fldCharType="begin"/>
      </w:r>
      <w:r>
        <w:instrText xml:space="preserve"> HYPERLINK \l _Toc8580 </w:instrText>
      </w:r>
      <w:r>
        <w:fldChar w:fldCharType="separate"/>
      </w:r>
      <w:r>
        <w:rPr>
          <w:rFonts w:hint="eastAsia" w:ascii="仿宋" w:hAnsi="仿宋" w:eastAsia="仿宋"/>
          <w:bCs w:val="0"/>
        </w:rPr>
        <w:t>十三、财政拨款“三公”经费支出决算表</w:t>
      </w:r>
      <w:r>
        <w:tab/>
      </w:r>
      <w:r>
        <w:fldChar w:fldCharType="begin"/>
      </w:r>
      <w:r>
        <w:instrText xml:space="preserve"> PAGEREF _Toc8580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widowControl/>
        <w:spacing w:line="440" w:lineRule="exact"/>
        <w:jc w:val="left"/>
        <w:rPr>
          <w:rFonts w:ascii="仿宋" w:hAnsi="仿宋" w:eastAsia="仿宋"/>
          <w:bCs/>
          <w:kern w:val="44"/>
          <w:sz w:val="24"/>
        </w:rPr>
      </w:pPr>
      <w:r>
        <w:fldChar w:fldCharType="end"/>
      </w:r>
      <w:bookmarkStart w:id="14" w:name="_Toc15377196"/>
      <w:bookmarkStart w:id="15" w:name="_Toc15396599"/>
    </w:p>
    <w:p>
      <w:pPr>
        <w:pStyle w:val="6"/>
        <w:jc w:val="center"/>
        <w:rPr>
          <w:rStyle w:val="29"/>
          <w:rFonts w:ascii="黑体" w:hAnsi="黑体" w:eastAsia="黑体"/>
          <w:b/>
          <w:bCs w:val="0"/>
        </w:rPr>
      </w:pPr>
      <w:bookmarkStart w:id="16" w:name="_Toc15517"/>
      <w:r>
        <w:rPr>
          <w:rFonts w:hint="eastAsia" w:ascii="黑体" w:hAnsi="黑体" w:eastAsia="黑体"/>
          <w:b w:val="0"/>
        </w:rPr>
        <w:t>第一部分 单位</w:t>
      </w:r>
      <w:r>
        <w:rPr>
          <w:rStyle w:val="29"/>
          <w:rFonts w:hint="eastAsia" w:ascii="黑体" w:hAnsi="黑体" w:eastAsia="黑体"/>
          <w:b w:val="0"/>
          <w:bCs w:val="0"/>
        </w:rPr>
        <w:t>概况</w:t>
      </w:r>
      <w:bookmarkEnd w:id="14"/>
      <w:bookmarkEnd w:id="15"/>
      <w:bookmarkEnd w:id="16"/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7"/>
        <w:numPr>
          <w:ilvl w:val="0"/>
          <w:numId w:val="1"/>
        </w:num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bookmarkStart w:id="17" w:name="_Toc15454"/>
      <w:bookmarkStart w:id="18" w:name="_Toc15396600"/>
      <w:bookmarkStart w:id="19" w:name="_Toc15377197"/>
      <w:r>
        <w:rPr>
          <w:rStyle w:val="30"/>
          <w:rFonts w:hint="eastAsia" w:ascii="黑体" w:hAnsi="黑体" w:eastAsia="黑体"/>
          <w:b w:val="0"/>
          <w:bCs w:val="0"/>
        </w:rPr>
        <w:t>主要职责</w:t>
      </w:r>
      <w:bookmarkEnd w:id="17"/>
    </w:p>
    <w:p>
      <w:pPr>
        <w:pStyle w:val="7"/>
        <w:numPr>
          <w:ilvl w:val="0"/>
          <w:numId w:val="0"/>
        </w:numPr>
        <w:ind w:firstLine="600" w:firstLineChars="20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剑阁县盐店镇西庙卫生院成立于1952年，位于剑阁县盐店镇西庙场新街251号。目前属国家一级乙等综合医院，为城乡居民医疗保险、城镇职工医疗保险、商业保险定点医院。</w:t>
      </w:r>
    </w:p>
    <w:p>
      <w:pPr>
        <w:pStyle w:val="7"/>
        <w:numPr>
          <w:ilvl w:val="0"/>
          <w:numId w:val="0"/>
        </w:numPr>
        <w:ind w:firstLine="600" w:firstLineChars="200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医院现有职工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20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名，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在编8人，编外12人；</w:t>
      </w: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执业医师2名，执业助理医师2名，执业护师2名。编制床位9张，开放床位9张。医院拥有国内先进的高档数字式十二通道心电图机、迈瑞B超、便携式B超（床旁）、全自动生化仪、全自动血细胞分析仪等医疗设备。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医院开设有内科、外科、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急诊门诊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、中医科、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预防接种科、中西结合科、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检验、等临床科室。能开展对临床常见病、多发病能给予积极准确的诊治，并对临床危重、急诊病人进行有效的抢救和治疗。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both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20" w:name="_Toc11324"/>
      <w:r>
        <w:rPr>
          <w:rStyle w:val="30"/>
          <w:rFonts w:hint="eastAsia" w:ascii="黑体" w:hAnsi="黑体" w:eastAsia="黑体"/>
          <w:b w:val="0"/>
          <w:bCs w:val="0"/>
          <w:lang w:val="en-US" w:eastAsia="zh-CN" w:bidi="ar-SA"/>
        </w:rPr>
        <w:t>二、2022年重点工作</w:t>
      </w:r>
      <w:bookmarkEnd w:id="20"/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（一）疫情防控：做好院内常态化疫情防控工作，“外防输入、内防反弹”，保证院内疫情防控物资充足，做好院内感染防控工作。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（二）医疗服务：我院按照现有医疗模式，24小时连续医疗服务，不断完善、规范、保障辖区百姓就医需求。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（三）公共卫生：做好2022年度居民健康档案、预防接种、健康教育、65岁以上老人及慢病患者的管理工作，完善乡村医生绩效考核制度等。</w:t>
      </w:r>
    </w:p>
    <w:p/>
    <w:p>
      <w:pPr>
        <w:pStyle w:val="7"/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21" w:name="_Toc21940"/>
      <w:r>
        <w:rPr>
          <w:rFonts w:hint="eastAsia" w:ascii="黑体" w:hAnsi="黑体" w:eastAsia="黑体"/>
          <w:b w:val="0"/>
          <w:color w:val="000000" w:themeColor="text1"/>
          <w14:textFill>
            <w14:solidFill>
              <w14:schemeClr w14:val="tx1"/>
            </w14:solidFill>
          </w14:textFill>
        </w:rPr>
        <w:t>机构设置</w:t>
      </w:r>
      <w:bookmarkEnd w:id="21"/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剑阁县盐店镇西庙卫生院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下属二级单位，无纳入202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年度部门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eastAsia="zh-CN"/>
        </w:rPr>
        <w:t>预算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编制范围的二级预算单位。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医院开设有内科、外科、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急诊门诊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、中医科、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预防接种科、中西结合科、</w:t>
      </w:r>
      <w: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  <w:t>检验、等临床科室。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</w:p>
    <w:p>
      <w:pPr>
        <w:numPr>
          <w:ilvl w:val="0"/>
          <w:numId w:val="0"/>
        </w:numPr>
        <w:ind w:leftChars="0"/>
      </w:pPr>
    </w:p>
    <w:bookmarkEnd w:id="18"/>
    <w:bookmarkEnd w:id="19"/>
    <w:p>
      <w:pPr>
        <w:widowControl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</w:p>
    <w:p>
      <w:pPr>
        <w:pStyle w:val="6"/>
        <w:ind w:right="440"/>
        <w:jc w:val="center"/>
        <w:rPr>
          <w:rStyle w:val="29"/>
          <w:rFonts w:ascii="黑体" w:hAnsi="黑体" w:eastAsia="黑体"/>
          <w:b w:val="0"/>
          <w:bCs/>
        </w:rPr>
      </w:pPr>
      <w:bookmarkStart w:id="22" w:name="_Toc15377204"/>
      <w:bookmarkStart w:id="23" w:name="_Toc15396602"/>
      <w:bookmarkStart w:id="24" w:name="_Toc23234"/>
      <w:r>
        <w:rPr>
          <w:rFonts w:hint="eastAsia" w:ascii="黑体" w:hAnsi="黑体" w:eastAsia="黑体"/>
          <w:b w:val="0"/>
        </w:rPr>
        <w:t>第二部分 2022年度</w:t>
      </w:r>
      <w:r>
        <w:rPr>
          <w:rStyle w:val="29"/>
          <w:rFonts w:hint="eastAsia" w:ascii="黑体" w:hAnsi="黑体" w:eastAsia="黑体"/>
          <w:b w:val="0"/>
          <w:bCs/>
        </w:rPr>
        <w:t>单位决算情况说明</w:t>
      </w:r>
      <w:bookmarkEnd w:id="22"/>
      <w:bookmarkEnd w:id="23"/>
      <w:bookmarkEnd w:id="24"/>
    </w:p>
    <w:p/>
    <w:p>
      <w:pPr>
        <w:pStyle w:val="28"/>
        <w:numPr>
          <w:ilvl w:val="0"/>
          <w:numId w:val="2"/>
        </w:numPr>
        <w:spacing w:line="600" w:lineRule="exact"/>
        <w:ind w:firstLineChars="0"/>
        <w:outlineLvl w:val="1"/>
        <w:rPr>
          <w:rStyle w:val="30"/>
          <w:rFonts w:ascii="黑体" w:hAnsi="黑体" w:eastAsia="黑体"/>
          <w:b w:val="0"/>
        </w:rPr>
      </w:pPr>
      <w:bookmarkStart w:id="25" w:name="_Toc15377205"/>
      <w:bookmarkStart w:id="26" w:name="_Toc16680"/>
      <w:bookmarkStart w:id="27" w:name="_Toc15396603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30"/>
          <w:rFonts w:hint="eastAsia" w:ascii="黑体" w:hAnsi="黑体" w:eastAsia="黑体"/>
          <w:b w:val="0"/>
        </w:rPr>
        <w:t>入支出决算总体情况说明</w:t>
      </w:r>
      <w:bookmarkEnd w:id="25"/>
      <w:bookmarkEnd w:id="26"/>
      <w:bookmarkEnd w:id="27"/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2022年度收、支总计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267.9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2021年本单位未单独填报决算，由系统统一填报部门决算，故无法对比。</w:t>
      </w:r>
    </w:p>
    <w:p>
      <w:pPr>
        <w:pStyle w:val="28"/>
        <w:numPr>
          <w:ilvl w:val="0"/>
          <w:numId w:val="2"/>
        </w:numPr>
        <w:tabs>
          <w:tab w:val="left" w:pos="634"/>
        </w:tabs>
        <w:spacing w:line="600" w:lineRule="exact"/>
        <w:ind w:firstLineChars="0"/>
        <w:outlineLvl w:val="1"/>
        <w:rPr>
          <w:rStyle w:val="30"/>
          <w:rFonts w:ascii="黑体" w:hAnsi="黑体" w:eastAsia="黑体"/>
          <w:b w:val="0"/>
        </w:rPr>
      </w:pPr>
      <w:bookmarkStart w:id="28" w:name="_Toc32633"/>
      <w:bookmarkStart w:id="29" w:name="_Toc15377206"/>
      <w:bookmarkStart w:id="30" w:name="_Toc15396604"/>
      <w:r>
        <w:rPr>
          <w:rFonts w:hint="eastAsia" w:ascii="黑体" w:hAnsi="黑体" w:eastAsia="黑体"/>
          <w:sz w:val="32"/>
          <w:szCs w:val="32"/>
        </w:rPr>
        <w:t>收</w:t>
      </w:r>
      <w:r>
        <w:rPr>
          <w:rStyle w:val="30"/>
          <w:rFonts w:hint="eastAsia" w:ascii="黑体" w:hAnsi="黑体" w:eastAsia="黑体"/>
          <w:b w:val="0"/>
        </w:rPr>
        <w:t>入决算情况说明</w:t>
      </w:r>
      <w:bookmarkEnd w:id="28"/>
      <w:bookmarkEnd w:id="29"/>
      <w:bookmarkEnd w:id="30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sz w:val="32"/>
          <w:szCs w:val="32"/>
        </w:rPr>
      </w:pPr>
      <w:bookmarkStart w:id="31" w:name="_Toc14697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22年本年收入合计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267.9</w:t>
      </w:r>
      <w:r>
        <w:rPr>
          <w:rFonts w:hint="eastAsia" w:ascii="仿宋" w:hAnsi="仿宋" w:eastAsia="仿宋"/>
          <w:sz w:val="32"/>
          <w:szCs w:val="32"/>
        </w:rPr>
        <w:t>万元，其中：一般公共预算财政拨款收入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106.73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；事业收入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157.6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59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；其他收入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3.57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bookmarkEnd w:id="31"/>
    </w:p>
    <w:p>
      <w:pPr>
        <w:spacing w:line="600" w:lineRule="exact"/>
        <w:ind w:firstLine="420" w:firstLineChars="200"/>
      </w:pPr>
    </w:p>
    <w:p>
      <w:pPr>
        <w:pStyle w:val="2"/>
      </w:pPr>
    </w:p>
    <w:p>
      <w:pPr>
        <w:pStyle w:val="4"/>
        <w:ind w:left="0" w:leftChars="0" w:firstLine="0" w:firstLineChars="0"/>
      </w:pP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4222750" cy="2844800"/>
            <wp:effectExtent l="4445" t="5080" r="14605" b="762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4"/>
      </w:pPr>
    </w:p>
    <w:p>
      <w:pPr>
        <w:pStyle w:val="28"/>
        <w:numPr>
          <w:ilvl w:val="0"/>
          <w:numId w:val="2"/>
        </w:numPr>
        <w:spacing w:line="600" w:lineRule="exact"/>
        <w:ind w:firstLineChars="0"/>
        <w:outlineLvl w:val="1"/>
        <w:rPr>
          <w:rStyle w:val="30"/>
          <w:rFonts w:ascii="黑体" w:hAnsi="黑体" w:eastAsia="黑体"/>
          <w:b w:val="0"/>
        </w:rPr>
      </w:pPr>
      <w:bookmarkStart w:id="32" w:name="_Toc15396605"/>
      <w:bookmarkStart w:id="33" w:name="_Toc15377207"/>
      <w:bookmarkStart w:id="34" w:name="_Toc4250"/>
      <w:r>
        <w:rPr>
          <w:rFonts w:hint="eastAsia" w:ascii="黑体" w:hAnsi="黑体" w:eastAsia="黑体"/>
          <w:sz w:val="32"/>
          <w:szCs w:val="32"/>
        </w:rPr>
        <w:t>支</w:t>
      </w:r>
      <w:r>
        <w:rPr>
          <w:rStyle w:val="30"/>
          <w:rFonts w:hint="eastAsia" w:ascii="黑体" w:hAnsi="黑体" w:eastAsia="黑体"/>
          <w:b w:val="0"/>
        </w:rPr>
        <w:t>出决算情况说明</w:t>
      </w:r>
      <w:bookmarkEnd w:id="32"/>
      <w:bookmarkEnd w:id="33"/>
      <w:bookmarkEnd w:id="34"/>
    </w:p>
    <w:p>
      <w:pPr>
        <w:spacing w:line="600" w:lineRule="exact"/>
        <w:ind w:firstLine="640" w:firstLineChars="200"/>
        <w:outlineLvl w:val="1"/>
        <w:rPr>
          <w:rFonts w:hint="eastAsia" w:ascii="仿宋" w:hAnsi="仿宋" w:eastAsia="仿宋"/>
          <w:sz w:val="32"/>
          <w:szCs w:val="32"/>
          <w:lang w:eastAsia="zh-CN"/>
        </w:rPr>
      </w:pPr>
      <w:bookmarkStart w:id="35" w:name="_Toc4343"/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22年本年支出合计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267.9</w:t>
      </w:r>
      <w:r>
        <w:rPr>
          <w:rFonts w:hint="eastAsia" w:ascii="仿宋" w:hAnsi="仿宋" w:eastAsia="仿宋"/>
          <w:sz w:val="32"/>
          <w:szCs w:val="32"/>
        </w:rPr>
        <w:t>万元，其中：基本支出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267.9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bookmarkEnd w:id="35"/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2644" w:firstLineChars="1202"/>
        <w:jc w:val="left"/>
        <w:rPr>
          <w:rFonts w:ascii="仿宋" w:hAnsi="仿宋" w:eastAsia="仿宋"/>
          <w:sz w:val="32"/>
          <w:szCs w:val="32"/>
          <w:shd w:val="pct10" w:color="auto" w:fill="FFFFFF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图3：支出决算结构图</w:t>
      </w:r>
    </w:p>
    <w:p>
      <w:pPr>
        <w:spacing w:line="600" w:lineRule="exact"/>
        <w:ind w:firstLine="420" w:firstLineChars="2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382270</wp:posOffset>
            </wp:positionH>
            <wp:positionV relativeFrom="paragraph">
              <wp:posOffset>7620</wp:posOffset>
            </wp:positionV>
            <wp:extent cx="4171950" cy="2844800"/>
            <wp:effectExtent l="4445" t="4445" r="14605" b="8255"/>
            <wp:wrapSquare wrapText="bothSides"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  <w:bookmarkStart w:id="36" w:name="_Toc15396606"/>
      <w:bookmarkStart w:id="37" w:name="_Toc15377208"/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ind w:firstLine="640" w:firstLineChars="200"/>
        <w:outlineLvl w:val="1"/>
        <w:rPr>
          <w:rStyle w:val="30"/>
          <w:rFonts w:ascii="黑体" w:hAnsi="黑体" w:eastAsia="黑体"/>
          <w:b w:val="0"/>
        </w:rPr>
      </w:pPr>
      <w:bookmarkStart w:id="38" w:name="_Toc32582"/>
      <w:r>
        <w:rPr>
          <w:rFonts w:hint="eastAsia" w:ascii="黑体" w:hAnsi="黑体" w:eastAsia="黑体"/>
          <w:sz w:val="32"/>
          <w:szCs w:val="32"/>
        </w:rPr>
        <w:t>四、财</w:t>
      </w:r>
      <w:r>
        <w:rPr>
          <w:rStyle w:val="30"/>
          <w:rFonts w:hint="eastAsia" w:ascii="黑体" w:hAnsi="黑体" w:eastAsia="黑体"/>
          <w:b w:val="0"/>
        </w:rPr>
        <w:t>政拨款收入支出决算总体情况说明</w:t>
      </w:r>
      <w:bookmarkEnd w:id="36"/>
      <w:bookmarkEnd w:id="37"/>
      <w:bookmarkEnd w:id="38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22年财政拨款收、支总计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267.9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2021年本单位未单独填报决算，由系统统一填报部门决算，故无法对比。</w:t>
      </w:r>
    </w:p>
    <w:p>
      <w:pPr>
        <w:spacing w:line="600" w:lineRule="exact"/>
        <w:ind w:firstLine="960" w:firstLineChars="300"/>
        <w:outlineLvl w:val="1"/>
        <w:rPr>
          <w:rStyle w:val="30"/>
          <w:rFonts w:ascii="黑体" w:hAnsi="黑体" w:eastAsia="黑体"/>
          <w:b w:val="0"/>
        </w:rPr>
      </w:pPr>
      <w:bookmarkStart w:id="39" w:name="_Toc15396607"/>
      <w:bookmarkStart w:id="40" w:name="_Toc15377209"/>
      <w:bookmarkStart w:id="41" w:name="_Toc30849"/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b/>
          <w:sz w:val="32"/>
          <w:szCs w:val="32"/>
        </w:rPr>
        <w:t>一</w:t>
      </w:r>
      <w:r>
        <w:rPr>
          <w:rStyle w:val="30"/>
          <w:rFonts w:hint="eastAsia" w:ascii="黑体" w:hAnsi="黑体" w:eastAsia="黑体"/>
          <w:b w:val="0"/>
        </w:rPr>
        <w:t>般公共预算财政拨款支出决算情况说明</w:t>
      </w:r>
      <w:bookmarkEnd w:id="39"/>
      <w:bookmarkEnd w:id="40"/>
      <w:bookmarkEnd w:id="41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sz w:val="32"/>
          <w:szCs w:val="32"/>
        </w:rPr>
      </w:pPr>
      <w:bookmarkStart w:id="42" w:name="_Toc22283"/>
      <w:bookmarkStart w:id="43" w:name="_Toc15377210"/>
      <w:r>
        <w:rPr>
          <w:rFonts w:hint="eastAsia" w:ascii="仿宋" w:hAnsi="仿宋" w:eastAsia="仿宋"/>
          <w:b/>
          <w:sz w:val="32"/>
          <w:szCs w:val="32"/>
        </w:rPr>
        <w:t>（一）一般公共预算财政拨款支出决算总体情况</w:t>
      </w:r>
      <w:bookmarkEnd w:id="42"/>
      <w:bookmarkEnd w:id="43"/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106.73</w:t>
      </w:r>
      <w:r>
        <w:rPr>
          <w:rFonts w:hint="eastAsia" w:ascii="仿宋" w:hAnsi="仿宋" w:eastAsia="仿宋"/>
          <w:sz w:val="32"/>
          <w:szCs w:val="32"/>
        </w:rPr>
        <w:t>万元，占本年支出合计的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2021年本单位未单独填报决算，由系统统一填报部门决算，故无法对比。</w:t>
      </w:r>
    </w:p>
    <w:p>
      <w:pPr>
        <w:spacing w:line="600" w:lineRule="exact"/>
        <w:outlineLvl w:val="2"/>
        <w:rPr>
          <w:rFonts w:ascii="仿宋" w:hAnsi="仿宋" w:eastAsia="仿宋"/>
          <w:b/>
          <w:sz w:val="32"/>
          <w:szCs w:val="32"/>
        </w:rPr>
      </w:pPr>
      <w:bookmarkStart w:id="44" w:name="_Toc15377211"/>
      <w:bookmarkStart w:id="45" w:name="_Toc28724"/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</w:rPr>
        <w:t>二）一般公共预算财政拨款支出决算结构情况</w:t>
      </w:r>
      <w:bookmarkEnd w:id="44"/>
      <w:bookmarkEnd w:id="45"/>
    </w:p>
    <w:p>
      <w:pPr>
        <w:spacing w:line="60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106.73</w:t>
      </w:r>
      <w:r>
        <w:rPr>
          <w:rFonts w:hint="eastAsia" w:ascii="仿宋" w:hAnsi="仿宋" w:eastAsia="仿宋"/>
          <w:sz w:val="32"/>
          <w:szCs w:val="32"/>
        </w:rPr>
        <w:t>万元，主要用于以下方面</w:t>
      </w:r>
      <w:r>
        <w:rPr>
          <w:rFonts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b/>
          <w:sz w:val="32"/>
          <w:szCs w:val="32"/>
        </w:rPr>
        <w:t>社会保障和就业</w:t>
      </w:r>
      <w:r>
        <w:rPr>
          <w:rFonts w:hint="eastAsia" w:ascii="仿宋" w:hAnsi="仿宋" w:eastAsia="仿宋"/>
          <w:b/>
          <w:bCs/>
          <w:sz w:val="32"/>
          <w:szCs w:val="32"/>
        </w:rPr>
        <w:t>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7.36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卫生健康支出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96.31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b/>
          <w:bCs/>
          <w:sz w:val="32"/>
          <w:szCs w:val="32"/>
        </w:rPr>
        <w:t>住房保障支出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3.06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图六：一般公共预算财政拨款支出决算结构图</w:t>
      </w:r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321" w:firstLineChars="100"/>
        <w:outlineLvl w:val="2"/>
        <w:rPr>
          <w:rFonts w:hint="eastAsia" w:ascii="仿宋" w:hAnsi="仿宋" w:eastAsia="仿宋"/>
          <w:b/>
          <w:sz w:val="32"/>
          <w:szCs w:val="32"/>
        </w:rPr>
      </w:pPr>
      <w:bookmarkStart w:id="46" w:name="_Toc15377212"/>
    </w:p>
    <w:p>
      <w:pPr>
        <w:spacing w:line="600" w:lineRule="exact"/>
        <w:ind w:firstLine="321" w:firstLineChars="100"/>
        <w:outlineLvl w:val="2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600" w:lineRule="exact"/>
        <w:ind w:firstLine="321" w:firstLineChars="100"/>
        <w:outlineLvl w:val="2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600" w:lineRule="exact"/>
        <w:ind w:firstLine="321" w:firstLineChars="100"/>
        <w:outlineLvl w:val="2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600" w:lineRule="exact"/>
        <w:ind w:firstLine="321" w:firstLineChars="100"/>
        <w:outlineLvl w:val="2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600" w:lineRule="exact"/>
        <w:ind w:firstLine="321" w:firstLineChars="100"/>
        <w:outlineLvl w:val="2"/>
        <w:rPr>
          <w:rFonts w:hint="eastAsia" w:ascii="仿宋" w:hAnsi="仿宋" w:eastAsia="仿宋"/>
          <w:b/>
          <w:sz w:val="32"/>
          <w:szCs w:val="32"/>
        </w:rPr>
      </w:pPr>
    </w:p>
    <w:p>
      <w:pPr>
        <w:spacing w:line="600" w:lineRule="exact"/>
        <w:ind w:firstLine="210" w:firstLineChars="100"/>
        <w:outlineLvl w:val="2"/>
        <w:rPr>
          <w:rFonts w:hint="eastAsia" w:ascii="仿宋" w:hAnsi="仿宋" w:eastAsia="仿宋"/>
          <w:b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-2548255</wp:posOffset>
            </wp:positionV>
            <wp:extent cx="4171950" cy="2844800"/>
            <wp:effectExtent l="4445" t="4445" r="14605" b="8255"/>
            <wp:wrapSquare wrapText="bothSides"/>
            <wp:docPr id="7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spacing w:line="600" w:lineRule="exact"/>
        <w:ind w:firstLine="321" w:firstLineChars="100"/>
        <w:outlineLvl w:val="2"/>
        <w:rPr>
          <w:rFonts w:ascii="仿宋" w:hAnsi="仿宋" w:eastAsia="仿宋"/>
          <w:b/>
          <w:sz w:val="32"/>
          <w:szCs w:val="32"/>
        </w:rPr>
      </w:pPr>
      <w:bookmarkStart w:id="47" w:name="_Toc4152"/>
      <w:r>
        <w:rPr>
          <w:rFonts w:hint="eastAsia" w:ascii="仿宋" w:hAnsi="仿宋" w:eastAsia="仿宋"/>
          <w:b/>
          <w:sz w:val="32"/>
          <w:szCs w:val="32"/>
        </w:rPr>
        <w:t>（三）一般公共预算财政拨款支出决算具体情况</w:t>
      </w:r>
      <w:bookmarkEnd w:id="46"/>
      <w:bookmarkEnd w:id="47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48" w:name="_Toc15377444"/>
      <w:bookmarkStart w:id="49" w:name="_Toc15377213"/>
      <w:bookmarkStart w:id="50" w:name="_Toc15378460"/>
      <w:bookmarkStart w:id="51" w:name="_Toc8714"/>
      <w:r>
        <w:rPr>
          <w:rFonts w:hint="eastAsia" w:ascii="仿宋" w:hAnsi="仿宋" w:eastAsia="仿宋"/>
          <w:b/>
          <w:sz w:val="32"/>
          <w:szCs w:val="32"/>
        </w:rPr>
        <w:t>2022年一般公共预算支出决算数为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106.73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完成预算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100</w:t>
      </w:r>
      <w:r>
        <w:rPr>
          <w:rStyle w:val="19"/>
          <w:rFonts w:ascii="仿宋" w:hAnsi="仿宋" w:eastAsia="仿宋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。其中：</w:t>
      </w:r>
      <w:bookmarkEnd w:id="48"/>
      <w:bookmarkEnd w:id="49"/>
      <w:bookmarkEnd w:id="50"/>
      <w:bookmarkEnd w:id="51"/>
    </w:p>
    <w:p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1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社会保障和就业支出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(类)：行政事业单位养老支出(款)：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机关事业单位基本养老保险缴费支出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(项)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 xml:space="preserve"> 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支出决算为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7.36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万元，完成预算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</w:p>
    <w:p>
      <w:pPr>
        <w:spacing w:line="600" w:lineRule="exact"/>
        <w:ind w:firstLine="643" w:firstLineChars="200"/>
        <w:rPr>
          <w:rStyle w:val="19"/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2</w:t>
      </w:r>
      <w:r>
        <w:rPr>
          <w:rStyle w:val="19"/>
          <w:rFonts w:ascii="仿宋" w:hAnsi="仿宋" w:eastAsia="仿宋"/>
          <w:bCs/>
          <w:sz w:val="32"/>
          <w:szCs w:val="32"/>
        </w:rPr>
        <w:t>.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卫生健康支出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(类)：基层医疗卫生机构(款)：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乡镇卫生院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(项)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</w:rPr>
        <w:t>支出决算数为65.75万元，</w:t>
      </w:r>
      <w:r>
        <w:rPr>
          <w:rStyle w:val="19"/>
          <w:rFonts w:hint="eastAsia" w:ascii="仿宋" w:hAnsi="仿宋" w:eastAsia="仿宋" w:cs="Times New Roman"/>
          <w:b w:val="0"/>
          <w:bCs/>
          <w:sz w:val="32"/>
          <w:szCs w:val="32"/>
        </w:rPr>
        <w:t>完成预算</w:t>
      </w:r>
      <w:r>
        <w:rPr>
          <w:rStyle w:val="19"/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</w:rPr>
        <w:t>100</w:t>
      </w:r>
      <w:r>
        <w:rPr>
          <w:rStyle w:val="19"/>
          <w:rFonts w:hint="eastAsia" w:ascii="仿宋" w:hAnsi="仿宋" w:eastAsia="仿宋" w:cs="Times New Roman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 w:cs="Times New Roman"/>
          <w:b w:val="0"/>
          <w:bCs/>
          <w:sz w:val="32"/>
          <w:szCs w:val="32"/>
          <w:lang w:eastAsia="zh-CN"/>
        </w:rPr>
        <w:t>。</w:t>
      </w:r>
    </w:p>
    <w:p>
      <w:pPr>
        <w:pStyle w:val="2"/>
        <w:ind w:left="0" w:leftChars="0" w:firstLine="640" w:firstLineChars="200"/>
        <w:rPr>
          <w:rStyle w:val="19"/>
          <w:rFonts w:hint="default" w:ascii="仿宋" w:hAnsi="仿宋" w:eastAsia="仿宋"/>
          <w:b w:val="0"/>
          <w:bCs/>
          <w:sz w:val="32"/>
          <w:szCs w:val="32"/>
          <w:lang w:val="en-US" w:eastAsia="zh-CN"/>
        </w:rPr>
      </w:pP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 xml:space="preserve">3. 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卫生健康支出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(类)：基层医疗卫生机构(款)：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其他基层医疗卫生机构支出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(项)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支出决算数为5.60万元，完成预算100%。</w:t>
      </w:r>
    </w:p>
    <w:p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4.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卫生健康支出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(类)：公共卫生(款)：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基本公共卫生服务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(项)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支出决算为21.28万元，完成预算100%。</w:t>
      </w:r>
    </w:p>
    <w:p>
      <w:pPr>
        <w:spacing w:line="600" w:lineRule="exact"/>
        <w:ind w:firstLine="643" w:firstLineChars="200"/>
        <w:rPr>
          <w:rFonts w:hint="default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5.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卫生健康支出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(类)：行政事业单位医疗(款)：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事业单位医疗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(项)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Style w:val="19"/>
          <w:rFonts w:hint="eastAsia" w:ascii="仿宋" w:hAnsi="仿宋" w:eastAsia="仿宋" w:cs="Times New Roman"/>
          <w:b w:val="0"/>
          <w:bCs/>
          <w:sz w:val="32"/>
          <w:szCs w:val="32"/>
          <w:lang w:val="en-US" w:eastAsia="zh-CN"/>
        </w:rPr>
        <w:t>支出决算数：3.68万元，完成预算100%。</w:t>
      </w:r>
    </w:p>
    <w:p>
      <w:pPr>
        <w:spacing w:line="60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6.住房保障支出（类）住房改革支出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(款)：</w:t>
      </w:r>
      <w:r>
        <w:rPr>
          <w:rStyle w:val="19"/>
          <w:rFonts w:hint="eastAsia" w:ascii="仿宋" w:hAnsi="仿宋" w:eastAsia="仿宋"/>
          <w:bCs/>
          <w:sz w:val="32"/>
          <w:szCs w:val="32"/>
        </w:rPr>
        <w:t>住房公积金</w:t>
      </w:r>
      <w:r>
        <w:rPr>
          <w:rStyle w:val="19"/>
          <w:rFonts w:hint="eastAsia" w:ascii="仿宋" w:hAnsi="仿宋" w:eastAsia="仿宋"/>
          <w:bCs/>
          <w:sz w:val="32"/>
          <w:szCs w:val="32"/>
          <w:lang w:val="en-US" w:eastAsia="zh-CN"/>
        </w:rPr>
        <w:t>(项)</w:t>
      </w:r>
      <w:r>
        <w:rPr>
          <w:rStyle w:val="19"/>
          <w:rFonts w:ascii="仿宋" w:hAnsi="仿宋" w:eastAsia="仿宋"/>
          <w:bCs/>
          <w:sz w:val="32"/>
          <w:szCs w:val="32"/>
        </w:rPr>
        <w:t>: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支出决算为：3.06万元，完成预算100%。</w:t>
      </w:r>
    </w:p>
    <w:p>
      <w:pPr>
        <w:tabs>
          <w:tab w:val="right" w:pos="8306"/>
        </w:tabs>
        <w:spacing w:line="600" w:lineRule="exact"/>
        <w:ind w:firstLine="640"/>
        <w:outlineLvl w:val="1"/>
        <w:rPr>
          <w:rStyle w:val="30"/>
        </w:rPr>
      </w:pPr>
      <w:bookmarkStart w:id="52" w:name="_Toc24886"/>
      <w:bookmarkStart w:id="53" w:name="_Toc15396608"/>
      <w:bookmarkStart w:id="54" w:name="_Toc15377214"/>
      <w:r>
        <w:rPr>
          <w:rFonts w:hint="eastAsia" w:asci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Style w:val="30"/>
          <w:rFonts w:hint="eastAsia" w:ascii="黑体" w:hAnsi="黑体" w:eastAsia="黑体"/>
          <w:b w:val="0"/>
          <w:color w:val="000000" w:themeColor="text1"/>
          <w14:textFill>
            <w14:solidFill>
              <w14:schemeClr w14:val="tx1"/>
            </w14:solidFill>
          </w14:textFill>
        </w:rPr>
        <w:t>般公共预算财政拨款基本支出决算情况说明</w:t>
      </w:r>
      <w:bookmarkEnd w:id="52"/>
      <w:bookmarkEnd w:id="53"/>
      <w:bookmarkEnd w:id="54"/>
      <w:r>
        <w:rPr>
          <w:rStyle w:val="30"/>
          <w:rFonts w:ascii="黑体" w:hAnsi="黑体" w:eastAsia="黑体"/>
          <w:b w:val="0"/>
          <w:color w:val="FFC000"/>
        </w:rPr>
        <w:tab/>
      </w:r>
    </w:p>
    <w:p>
      <w:pPr>
        <w:spacing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22年一般公共预算财政拨款基本支出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106.73</w:t>
      </w:r>
      <w:r>
        <w:rPr>
          <w:rFonts w:hint="eastAsia" w:ascii="仿宋" w:hAnsi="仿宋" w:eastAsia="仿宋"/>
          <w:sz w:val="32"/>
          <w:szCs w:val="32"/>
        </w:rPr>
        <w:t>万元，其中：</w:t>
      </w:r>
    </w:p>
    <w:p>
      <w:pPr>
        <w:spacing w:line="600" w:lineRule="exact"/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人员经费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90.65万元。</w:t>
      </w:r>
      <w:r>
        <w:rPr>
          <w:rFonts w:hint="eastAsia" w:ascii="仿宋" w:hAnsi="仿宋" w:eastAsia="仿宋"/>
          <w:sz w:val="32"/>
          <w:szCs w:val="32"/>
        </w:rPr>
        <w:t>主要包括：基本工资、津贴补贴、绩效工资、机关事业单位基本养老保险缴费、其他社会保障缴费、其他工资福利支出、生活补助、住房公积金、其他对个人和家庭的补助支出等。</w:t>
      </w:r>
    </w:p>
    <w:p>
      <w:pPr>
        <w:spacing w:line="600" w:lineRule="exact"/>
        <w:ind w:firstLine="645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16.09万元。</w:t>
      </w:r>
      <w:r>
        <w:rPr>
          <w:rFonts w:hint="eastAsia" w:ascii="仿宋" w:hAnsi="仿宋" w:eastAsia="仿宋"/>
          <w:sz w:val="32"/>
          <w:szCs w:val="32"/>
        </w:rPr>
        <w:t>主要包括：办公费、印刷费、水费、电费、邮电费、差旅费、培训费、公务接待费、福利费、其他交通费、其他商品和服务支出。</w:t>
      </w:r>
    </w:p>
    <w:p>
      <w:pPr>
        <w:spacing w:line="600" w:lineRule="exact"/>
        <w:ind w:firstLine="640"/>
        <w:outlineLvl w:val="1"/>
        <w:rPr>
          <w:rStyle w:val="30"/>
          <w:rFonts w:ascii="黑体" w:hAnsi="黑体" w:eastAsia="黑体"/>
          <w:b w:val="0"/>
        </w:rPr>
      </w:pPr>
      <w:bookmarkStart w:id="55" w:name="_Toc11898"/>
      <w:bookmarkStart w:id="56" w:name="_Toc15396609"/>
      <w:bookmarkStart w:id="57" w:name="_Toc15377215"/>
      <w:r>
        <w:rPr>
          <w:rFonts w:hint="eastAsia" w:ascii="黑体" w:eastAsia="黑体"/>
          <w:sz w:val="32"/>
          <w:szCs w:val="32"/>
        </w:rPr>
        <w:t>七、</w:t>
      </w:r>
      <w:r>
        <w:rPr>
          <w:rStyle w:val="30"/>
          <w:rFonts w:hint="eastAsia" w:ascii="黑体" w:hAnsi="黑体" w:eastAsia="黑体"/>
          <w:b w:val="0"/>
        </w:rPr>
        <w:t>财政拨款</w:t>
      </w:r>
      <w:r>
        <w:rPr>
          <w:rStyle w:val="30"/>
          <w:rFonts w:hint="eastAsia" w:ascii="黑体" w:hAnsi="黑体" w:eastAsia="黑体"/>
        </w:rPr>
        <w:t>“</w:t>
      </w:r>
      <w:r>
        <w:rPr>
          <w:rStyle w:val="30"/>
          <w:rFonts w:hint="eastAsia" w:ascii="黑体" w:hAnsi="黑体" w:eastAsia="黑体"/>
          <w:b w:val="0"/>
        </w:rPr>
        <w:t>三公”经费支出决算情况说明</w:t>
      </w:r>
      <w:bookmarkEnd w:id="55"/>
      <w:bookmarkEnd w:id="56"/>
      <w:bookmarkEnd w:id="57"/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58" w:name="_Toc11332"/>
      <w:bookmarkStart w:id="59" w:name="_Toc15377216"/>
      <w:r>
        <w:rPr>
          <w:rFonts w:hint="eastAsia" w:ascii="仿宋" w:hAnsi="仿宋" w:eastAsia="仿宋"/>
          <w:b/>
          <w:sz w:val="32"/>
          <w:szCs w:val="32"/>
        </w:rPr>
        <w:t>（一）“三公”经费财政拨款支出决算总体情况说明</w:t>
      </w:r>
      <w:bookmarkEnd w:id="58"/>
      <w:bookmarkEnd w:id="59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0.14</w:t>
      </w:r>
      <w:r>
        <w:rPr>
          <w:rFonts w:hint="eastAsia" w:ascii="仿宋" w:hAnsi="仿宋" w:eastAsia="仿宋"/>
          <w:sz w:val="32"/>
          <w:szCs w:val="32"/>
        </w:rPr>
        <w:t>万元，完成预算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2021年本单位未单独填报决算，由系统统一填报部门决算，故无法对比。</w:t>
      </w:r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sz w:val="32"/>
          <w:szCs w:val="32"/>
        </w:rPr>
      </w:pPr>
      <w:bookmarkStart w:id="60" w:name="_Toc15377217"/>
      <w:bookmarkStart w:id="61" w:name="_Toc12373"/>
      <w:r>
        <w:rPr>
          <w:rFonts w:hint="eastAsia" w:ascii="仿宋" w:hAnsi="仿宋" w:eastAsia="仿宋"/>
          <w:b/>
          <w:sz w:val="32"/>
          <w:szCs w:val="32"/>
        </w:rPr>
        <w:t>（二）“三公”经费财政拨款支出决算具体情况说明</w:t>
      </w:r>
      <w:bookmarkEnd w:id="60"/>
      <w:bookmarkEnd w:id="61"/>
    </w:p>
    <w:p>
      <w:pPr>
        <w:spacing w:line="6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22年“三公”经费财政拨款支出决算中，因公出国（境）费支出决算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；公务用车购置及运行维护费支出决算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；公务接待费支出决算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0.14</w:t>
      </w:r>
      <w:r>
        <w:rPr>
          <w:rFonts w:hint="eastAsia" w:ascii="仿宋" w:hAnsi="仿宋" w:eastAsia="仿宋"/>
          <w:sz w:val="32"/>
          <w:szCs w:val="32"/>
        </w:rPr>
        <w:t>万元，占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ascii="仿宋" w:hAnsi="仿宋" w:eastAsia="仿宋"/>
          <w:sz w:val="32"/>
          <w:szCs w:val="32"/>
        </w:rPr>
        <w:t>%</w:t>
      </w:r>
      <w:r>
        <w:rPr>
          <w:rFonts w:hint="eastAsia" w:ascii="仿宋" w:hAnsi="仿宋" w:eastAsia="仿宋"/>
          <w:sz w:val="32"/>
          <w:szCs w:val="32"/>
        </w:rPr>
        <w:t>。具体情况如下：</w:t>
      </w: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458470</wp:posOffset>
            </wp:positionH>
            <wp:positionV relativeFrom="paragraph">
              <wp:posOffset>273050</wp:posOffset>
            </wp:positionV>
            <wp:extent cx="4447540" cy="2790825"/>
            <wp:effectExtent l="4445" t="4445" r="5715" b="11430"/>
            <wp:wrapSquare wrapText="bothSides"/>
            <wp:docPr id="8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</w:p>
    <w:p>
      <w:pPr>
        <w:spacing w:line="600" w:lineRule="exact"/>
        <w:ind w:firstLine="640"/>
        <w:rPr>
          <w:rFonts w:ascii="仿宋_GB2312" w:eastAsia="仿宋_GB2312"/>
          <w:b/>
          <w:sz w:val="32"/>
          <w:szCs w:val="32"/>
        </w:rPr>
      </w:pPr>
    </w:p>
    <w:p>
      <w:pPr>
        <w:pStyle w:val="10"/>
        <w:numPr>
          <w:ilvl w:val="0"/>
          <w:numId w:val="0"/>
        </w:numPr>
        <w:ind w:firstLine="643" w:firstLineChars="200"/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ascii="仿宋_GB2312" w:eastAsia="仿宋_GB2312"/>
          <w:b/>
          <w:sz w:val="32"/>
          <w:szCs w:val="32"/>
        </w:rPr>
        <w:t>1</w:t>
      </w:r>
      <w:r>
        <w:rPr>
          <w:rFonts w:ascii="仿宋_GB2312" w:eastAsia="仿宋_GB2312"/>
          <w:b/>
          <w:bCs w:val="0"/>
          <w:sz w:val="32"/>
          <w:szCs w:val="32"/>
        </w:rPr>
        <w:t>.</w:t>
      </w:r>
      <w:r>
        <w:rPr>
          <w:rFonts w:hint="default" w:ascii="仿宋_GB2312" w:hAnsi="仿宋_GB2312" w:cs="仿宋_GB2312"/>
          <w:b/>
          <w:bCs w:val="0"/>
          <w:sz w:val="32"/>
          <w:szCs w:val="32"/>
          <w:lang w:val="en-US" w:eastAsia="zh-CN"/>
        </w:rPr>
        <w:t>因公出国（境）经费</w:t>
      </w:r>
      <w:r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  <w:t>暂未编入年初部门预算，执行中，县财政根据各单位上报的202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  <w:t>年因公临时出国（境）任务，按程序报批后下达预算。</w:t>
      </w:r>
    </w:p>
    <w:p>
      <w:pPr>
        <w:pStyle w:val="10"/>
        <w:numPr>
          <w:ilvl w:val="0"/>
          <w:numId w:val="0"/>
        </w:numPr>
        <w:ind w:firstLine="640" w:firstLineChars="200"/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  <w:t>年公务接待费用于执行接待等公务活动开支的交通费、住宿费、用餐费等。</w:t>
      </w:r>
    </w:p>
    <w:p>
      <w:pPr>
        <w:spacing w:line="60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t>2.</w:t>
      </w:r>
      <w:r>
        <w:rPr>
          <w:rFonts w:hint="eastAsia" w:ascii="仿宋_GB2312" w:eastAsia="仿宋_GB2312"/>
          <w:b/>
          <w:sz w:val="32"/>
          <w:szCs w:val="32"/>
        </w:rPr>
        <w:t>公务用车购置及运行维护费支出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万元,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公务用车购置及运行维护费支出决算比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持平（0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其中：</w:t>
      </w:r>
      <w:r>
        <w:rPr>
          <w:rFonts w:hint="eastAsia" w:ascii="仿宋_GB2312" w:eastAsia="仿宋_GB2312"/>
          <w:b/>
          <w:sz w:val="32"/>
          <w:szCs w:val="32"/>
        </w:rPr>
        <w:t>公务用车购置支出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万元。全年按规定更新购置公务用车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辆，其中：轿车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万元，越野车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万元，载客汽车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月底，单位共有公务用车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辆，其中：轿车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辆、越野车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辆、载客汽车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公务用车运行维护费支出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万元。主要用于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hint="eastAsia" w:ascii="仿宋_GB2312" w:eastAsia="仿宋_GB2312"/>
          <w:sz w:val="32"/>
          <w:szCs w:val="32"/>
        </w:rPr>
        <w:t>（具体工作）等所需的公务用车燃料费、维修费、过路过桥费、保险费等支出。</w:t>
      </w:r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公务接待费支出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0.14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完成预算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100</w:t>
      </w:r>
      <w:r>
        <w:rPr>
          <w:rStyle w:val="19"/>
          <w:rFonts w:ascii="仿宋" w:hAnsi="仿宋" w:eastAsia="仿宋"/>
          <w:b w:val="0"/>
          <w:bCs/>
          <w:sz w:val="32"/>
          <w:szCs w:val="32"/>
        </w:rPr>
        <w:t>%</w:t>
      </w:r>
      <w:r>
        <w:rPr>
          <w:rStyle w:val="19"/>
          <w:rFonts w:hint="eastAsia" w:ascii="仿宋" w:hAnsi="仿宋" w:eastAsia="仿宋"/>
          <w:b w:val="0"/>
          <w:bCs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2021年本单位未单独填报决算，由系统统一填报部门决算，故无法对比</w:t>
      </w:r>
      <w:r>
        <w:rPr>
          <w:rFonts w:hint="eastAsia" w:ascii="仿宋_GB2312" w:eastAsia="仿宋_GB2312"/>
          <w:sz w:val="32"/>
          <w:szCs w:val="32"/>
        </w:rPr>
        <w:t>。其中：</w:t>
      </w:r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国内公务接待支出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0.14</w:t>
      </w:r>
      <w:r>
        <w:rPr>
          <w:rFonts w:hint="eastAsia" w:ascii="仿宋_GB2312" w:eastAsia="仿宋_GB2312"/>
          <w:sz w:val="32"/>
          <w:szCs w:val="32"/>
        </w:rPr>
        <w:t>万元，主要用于执行公务、开展业务活动开支的交通费、住宿费、用餐费等。国内公务接待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批次，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48</w:t>
      </w:r>
      <w:r>
        <w:rPr>
          <w:rFonts w:hint="eastAsia" w:ascii="仿宋_GB2312" w:eastAsia="仿宋_GB2312"/>
          <w:sz w:val="32"/>
          <w:szCs w:val="32"/>
        </w:rPr>
        <w:t>人次（不包括陪同人员），共计支出万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0.14万</w:t>
      </w:r>
      <w:r>
        <w:rPr>
          <w:rFonts w:hint="eastAsia" w:ascii="仿宋_GB2312" w:eastAsia="仿宋_GB2312"/>
          <w:sz w:val="32"/>
          <w:szCs w:val="32"/>
        </w:rPr>
        <w:t>元。</w:t>
      </w:r>
    </w:p>
    <w:p>
      <w:pPr>
        <w:spacing w:line="600" w:lineRule="exact"/>
        <w:ind w:firstLine="643" w:firstLineChars="200"/>
        <w:rPr>
          <w:rFonts w:ascii="黑体" w:eastAsia="黑体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外事接待支出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万元。外事接待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批次，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人次（不包括陪同人员），共计支出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  <w:bookmarkStart w:id="62" w:name="_Toc15396610"/>
      <w:bookmarkStart w:id="63" w:name="_Toc15377218"/>
    </w:p>
    <w:p>
      <w:pPr>
        <w:spacing w:line="600" w:lineRule="exact"/>
        <w:ind w:firstLine="640"/>
        <w:outlineLvl w:val="1"/>
        <w:rPr>
          <w:rStyle w:val="30"/>
          <w:rFonts w:ascii="黑体" w:hAnsi="黑体" w:eastAsia="黑体"/>
        </w:rPr>
      </w:pPr>
      <w:bookmarkStart w:id="64" w:name="_Toc24903"/>
      <w:r>
        <w:rPr>
          <w:rFonts w:hint="eastAsia" w:ascii="黑体" w:eastAsia="黑体"/>
          <w:sz w:val="32"/>
          <w:szCs w:val="32"/>
        </w:rPr>
        <w:t>八、</w:t>
      </w:r>
      <w:r>
        <w:rPr>
          <w:rStyle w:val="30"/>
          <w:rFonts w:hint="eastAsia" w:ascii="黑体" w:hAnsi="黑体" w:eastAsia="黑体"/>
          <w:b w:val="0"/>
        </w:rPr>
        <w:t>政府性基金预算支出决算情况说明</w:t>
      </w:r>
      <w:bookmarkEnd w:id="62"/>
      <w:bookmarkEnd w:id="63"/>
      <w:bookmarkEnd w:id="64"/>
    </w:p>
    <w:p>
      <w:pPr>
        <w:spacing w:line="60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22年政府性基金预算财政拨款支出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30"/>
          <w:rFonts w:ascii="黑体" w:hAnsi="黑体" w:eastAsia="黑体"/>
          <w:b w:val="0"/>
        </w:rPr>
      </w:pPr>
      <w:bookmarkStart w:id="65" w:name="_Toc15377219"/>
      <w:bookmarkStart w:id="66" w:name="_Toc15396611"/>
      <w:bookmarkStart w:id="67" w:name="_Toc14004"/>
      <w:r>
        <w:rPr>
          <w:rStyle w:val="30"/>
          <w:rFonts w:hint="eastAsia" w:ascii="黑体" w:hAnsi="黑体" w:eastAsia="黑体"/>
          <w:b w:val="0"/>
        </w:rPr>
        <w:t>国有资本经营预算支出决算情况说明</w:t>
      </w:r>
      <w:bookmarkEnd w:id="65"/>
      <w:bookmarkEnd w:id="66"/>
      <w:bookmarkEnd w:id="67"/>
    </w:p>
    <w:p>
      <w:pPr>
        <w:spacing w:line="600" w:lineRule="exact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22年国有资本经营预算财政拨款支出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numPr>
          <w:ilvl w:val="0"/>
          <w:numId w:val="3"/>
        </w:numPr>
        <w:spacing w:line="600" w:lineRule="exact"/>
        <w:ind w:firstLine="640"/>
        <w:outlineLvl w:val="1"/>
        <w:rPr>
          <w:rStyle w:val="30"/>
          <w:rFonts w:ascii="黑体" w:hAnsi="黑体" w:eastAsia="黑体"/>
          <w:b w:val="0"/>
        </w:rPr>
      </w:pPr>
      <w:bookmarkStart w:id="68" w:name="_Toc24209"/>
      <w:bookmarkStart w:id="69" w:name="_Toc15377221"/>
      <w:bookmarkStart w:id="70" w:name="_Toc15396612"/>
      <w:r>
        <w:rPr>
          <w:rStyle w:val="30"/>
          <w:rFonts w:hint="eastAsia" w:ascii="黑体" w:hAnsi="黑体" w:eastAsia="黑体"/>
          <w:b w:val="0"/>
        </w:rPr>
        <w:t>其他重要事项的情况说明</w:t>
      </w:r>
      <w:bookmarkEnd w:id="68"/>
      <w:bookmarkEnd w:id="69"/>
      <w:bookmarkEnd w:id="70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sz w:val="32"/>
          <w:szCs w:val="32"/>
        </w:rPr>
      </w:pPr>
      <w:bookmarkStart w:id="71" w:name="_Toc15377222"/>
      <w:bookmarkStart w:id="72" w:name="_Toc3004"/>
      <w:r>
        <w:rPr>
          <w:rFonts w:hint="eastAsia" w:ascii="仿宋" w:hAnsi="仿宋" w:eastAsia="仿宋"/>
          <w:b/>
          <w:sz w:val="32"/>
          <w:szCs w:val="32"/>
        </w:rPr>
        <w:t>（一）机关运行经费支出情况</w:t>
      </w:r>
      <w:bookmarkEnd w:id="71"/>
      <w:bookmarkEnd w:id="72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outlineLvl w:val="2"/>
        <w:rPr>
          <w:rFonts w:hint="eastAsia" w:ascii="仿宋_GB2312" w:eastAsia="仿宋_GB2312"/>
          <w:sz w:val="32"/>
          <w:szCs w:val="32"/>
          <w:lang w:eastAsia="zh-CN"/>
        </w:rPr>
      </w:pPr>
      <w:bookmarkStart w:id="73" w:name="_Toc15377223"/>
      <w:bookmarkStart w:id="74" w:name="_Toc32364"/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剑阁县盐店镇西庙卫生院</w:t>
      </w:r>
      <w:r>
        <w:rPr>
          <w:rFonts w:hint="eastAsia" w:ascii="仿宋_GB2312" w:eastAsia="仿宋_GB2312"/>
          <w:sz w:val="32"/>
          <w:szCs w:val="32"/>
        </w:rPr>
        <w:t>机关运行经费支出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本单位属于事业单位，无机关运行经费。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（二）政府采购支出情况</w:t>
      </w:r>
      <w:bookmarkEnd w:id="73"/>
      <w:bookmarkEnd w:id="74"/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75" w:name="_Toc15377224"/>
      <w:bookmarkStart w:id="76" w:name="_Toc15989"/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剑阁县盐店镇西庙卫生院</w:t>
      </w:r>
      <w:r>
        <w:rPr>
          <w:rFonts w:hint="eastAsia" w:ascii="仿宋_GB2312" w:eastAsia="仿宋_GB2312"/>
          <w:sz w:val="32"/>
          <w:szCs w:val="32"/>
        </w:rPr>
        <w:t>政府采购支出总额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万元，其中：政府采购货物支出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万元、政府采购工程支出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万元、政府采购服务支出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万元。主要用于</w:t>
      </w:r>
      <w:r>
        <w:rPr>
          <w:rFonts w:ascii="仿宋_GB2312" w:eastAsia="仿宋_GB2312"/>
          <w:sz w:val="32"/>
          <w:szCs w:val="32"/>
        </w:rPr>
        <w:t>…</w:t>
      </w:r>
      <w:r>
        <w:rPr>
          <w:rFonts w:hint="eastAsia" w:ascii="仿宋_GB2312" w:eastAsia="仿宋_GB2312"/>
          <w:sz w:val="32"/>
          <w:szCs w:val="32"/>
        </w:rPr>
        <w:t>（具体工作）。授予中小企业合同金额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，其中：授予小微企业合同金额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万元，占政府采购支出总额的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（三）国有资产占有使用情况</w:t>
      </w:r>
      <w:bookmarkEnd w:id="75"/>
      <w:bookmarkEnd w:id="76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hint="default" w:ascii="仿宋_GB2312" w:hAnsi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22年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31</w:t>
      </w:r>
      <w:r>
        <w:rPr>
          <w:rFonts w:hint="eastAsia" w:ascii="仿宋_GB2312" w:eastAsia="仿宋_GB2312"/>
          <w:sz w:val="32"/>
          <w:szCs w:val="32"/>
        </w:rPr>
        <w:t>日，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剑阁县盐店镇西庙卫生院</w:t>
      </w:r>
      <w:r>
        <w:rPr>
          <w:rFonts w:hint="eastAsia" w:ascii="仿宋_GB2312" w:eastAsia="仿宋_GB2312"/>
          <w:sz w:val="32"/>
          <w:szCs w:val="32"/>
        </w:rPr>
        <w:t>共有车辆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辆，其中：主要领导干部用车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辆、机要通信用车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辆、应急保障用车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辆、其他用车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辆，其他用车主要是用于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护理及运送病员的特种车辆，疫苗接种及公卫下乡体检车辆</w:t>
      </w:r>
      <w:r>
        <w:rPr>
          <w:rFonts w:hint="eastAsia" w:ascii="仿宋_GB2312" w:eastAsia="仿宋_GB2312"/>
          <w:sz w:val="32"/>
          <w:szCs w:val="32"/>
        </w:rPr>
        <w:t>。单价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万元以上专用设备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台（套）。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highlight w:val="yellow"/>
        </w:rPr>
      </w:pPr>
    </w:p>
    <w:p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numPr>
          <w:ilvl w:val="0"/>
          <w:numId w:val="4"/>
        </w:numPr>
        <w:spacing w:line="600" w:lineRule="exact"/>
        <w:ind w:firstLine="660" w:firstLineChars="150"/>
        <w:jc w:val="center"/>
        <w:outlineLvl w:val="0"/>
        <w:rPr>
          <w:rStyle w:val="29"/>
          <w:rFonts w:ascii="黑体" w:hAnsi="黑体" w:eastAsia="黑体"/>
          <w:b w:val="0"/>
        </w:rPr>
      </w:pPr>
      <w:bookmarkStart w:id="77" w:name="_Toc15396613"/>
      <w:bookmarkStart w:id="78" w:name="_Toc2229"/>
      <w:bookmarkStart w:id="79" w:name="_Toc15377225"/>
      <w:r>
        <w:rPr>
          <w:rFonts w:hint="eastAsia" w:ascii="黑体" w:hAnsi="黑体" w:eastAsia="黑体"/>
          <w:sz w:val="44"/>
          <w:szCs w:val="44"/>
        </w:rPr>
        <w:t>名</w:t>
      </w:r>
      <w:r>
        <w:rPr>
          <w:rStyle w:val="29"/>
          <w:rFonts w:hint="eastAsia" w:ascii="黑体" w:hAnsi="黑体" w:eastAsia="黑体"/>
          <w:b w:val="0"/>
        </w:rPr>
        <w:t>词解释</w:t>
      </w:r>
      <w:bookmarkEnd w:id="77"/>
      <w:bookmarkEnd w:id="78"/>
      <w:bookmarkEnd w:id="79"/>
    </w:p>
    <w:p>
      <w:pPr>
        <w:spacing w:line="600" w:lineRule="exact"/>
        <w:jc w:val="left"/>
        <w:rPr>
          <w:rFonts w:ascii="宋体"/>
          <w:b/>
          <w:sz w:val="44"/>
          <w:szCs w:val="44"/>
        </w:rPr>
      </w:pPr>
    </w:p>
    <w:p>
      <w:pPr>
        <w:pStyle w:val="27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bookmarkStart w:id="80" w:name="_Toc15396614"/>
      <w:bookmarkStart w:id="81" w:name="_Toc27669"/>
      <w:bookmarkStart w:id="82" w:name="_Toc15377226"/>
      <w:r>
        <w:rPr>
          <w:rFonts w:ascii="仿宋_GB2312" w:eastAsia="仿宋_GB2312"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财政拨款收入：指单位从同级财政部门取得的财政预算资金。</w:t>
      </w:r>
    </w:p>
    <w:p>
      <w:pPr>
        <w:pStyle w:val="27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事业收入：指事业单位开展专业业务活动及辅助活动取得的收入。</w:t>
      </w:r>
    </w:p>
    <w:p>
      <w:pPr>
        <w:pStyle w:val="27"/>
        <w:spacing w:line="560" w:lineRule="exact"/>
        <w:ind w:left="638" w:leftChars="304" w:firstLine="0" w:firstLineChars="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其他收入：指单位取得的除上述收入以外的各项收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入。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社会保障和就业（类）行政事业单位离退休（款）机关事业单位基本养老保险缴费支出（项）：指部门实施养老保险制度由单位缴纳的养老保险费的支出。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卫生健康（类）行政事业单位医疗（款）事业单位医疗（项）：指事业单位用于缴纳单位基本医疗保险支出。</w:t>
      </w:r>
    </w:p>
    <w:p>
      <w:pPr>
        <w:pStyle w:val="1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住房保障（类）住房改革支出（款）住房公积金（项）：指按照《住房公积金管理条例》的规定，由单位及其在职职工缴存的长期住房储金。</w:t>
      </w:r>
    </w:p>
    <w:p>
      <w:pPr>
        <w:pStyle w:val="1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卫生健康支出（类）公共卫生（款）基本公共卫生服务（项）：指基层医疗机构提供基本公共卫生服务支出。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卫生健康支出（类）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基层医疗机构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（款）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乡镇卫生院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（项）：指基层医疗机构提供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医疗服务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支出。</w:t>
      </w:r>
    </w:p>
    <w:p>
      <w:pPr>
        <w:pStyle w:val="1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卫生健康支出（类）基层医疗卫生机构（款）其他基层医疗卫生机构支出（项）：指基层医疗机构村卫生室补助支出。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基本支出：指为保障机构正常运转、完成日常工作任务而发生的人员支出和公用支出。</w:t>
      </w:r>
    </w:p>
    <w:p>
      <w:pPr>
        <w:pStyle w:val="27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11</w:t>
      </w:r>
      <w:r>
        <w:rPr>
          <w:rFonts w:ascii="仿宋_GB2312" w:eastAsia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/>
          <w:color w:val="auto"/>
          <w:sz w:val="32"/>
          <w:szCs w:val="32"/>
        </w:rPr>
        <w:t>“三公”经费：指单位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bookmarkEnd w:id="80"/>
    <w:bookmarkEnd w:id="81"/>
    <w:p>
      <w:pPr>
        <w:spacing w:line="600" w:lineRule="exact"/>
        <w:jc w:val="left"/>
        <w:outlineLvl w:val="0"/>
        <w:rPr>
          <w:rFonts w:ascii="仿宋_GB2312" w:hAnsi="Calibri" w:eastAsia="仿宋_GB2312" w:cs="仿宋"/>
          <w:kern w:val="0"/>
          <w:sz w:val="32"/>
          <w:szCs w:val="32"/>
        </w:rPr>
      </w:pPr>
      <w:bookmarkStart w:id="83" w:name="_Toc15396618"/>
    </w:p>
    <w:p>
      <w:pPr>
        <w:pStyle w:val="5"/>
        <w:spacing w:before="93"/>
        <w:rPr>
          <w:rFonts w:hAnsi="Calibri" w:cs="仿宋"/>
          <w:sz w:val="32"/>
          <w:szCs w:val="32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  <w:bookmarkStart w:id="84" w:name="_Toc13316"/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黑体" w:hAnsi="黑体" w:eastAsia="黑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ascii="仿宋" w:hAnsi="仿宋" w:eastAsia="仿宋"/>
        </w:rPr>
      </w:pPr>
      <w:r>
        <w:rPr>
          <w:rFonts w:hint="eastAsia" w:ascii="黑体" w:hAnsi="黑体" w:eastAsia="黑体"/>
          <w:sz w:val="44"/>
          <w:szCs w:val="44"/>
        </w:rPr>
        <w:t>第</w:t>
      </w:r>
      <w:r>
        <w:rPr>
          <w:rStyle w:val="29"/>
          <w:rFonts w:hint="eastAsia" w:ascii="黑体" w:hAnsi="黑体" w:eastAsia="黑体"/>
          <w:b w:val="0"/>
          <w:lang w:eastAsia="zh-CN"/>
        </w:rPr>
        <w:t>四</w:t>
      </w:r>
      <w:r>
        <w:rPr>
          <w:rStyle w:val="29"/>
          <w:rFonts w:hint="eastAsia" w:ascii="黑体" w:hAnsi="黑体" w:eastAsia="黑体"/>
          <w:b w:val="0"/>
        </w:rPr>
        <w:t>部分 附表</w:t>
      </w:r>
      <w:bookmarkEnd w:id="82"/>
      <w:bookmarkEnd w:id="83"/>
      <w:bookmarkEnd w:id="84"/>
      <w:bookmarkStart w:id="85" w:name="_Toc15396619"/>
    </w:p>
    <w:p>
      <w:pPr>
        <w:pStyle w:val="7"/>
        <w:rPr>
          <w:rFonts w:ascii="仿宋" w:hAnsi="仿宋" w:eastAsia="仿宋"/>
        </w:rPr>
      </w:pPr>
      <w:bookmarkStart w:id="86" w:name="_Toc18642"/>
      <w:r>
        <w:rPr>
          <w:rFonts w:hint="eastAsia" w:ascii="仿宋" w:hAnsi="仿宋" w:eastAsia="仿宋"/>
          <w:b w:val="0"/>
        </w:rPr>
        <w:t>一、收</w:t>
      </w:r>
      <w:r>
        <w:rPr>
          <w:rStyle w:val="30"/>
          <w:rFonts w:hint="eastAsia" w:ascii="仿宋" w:hAnsi="仿宋" w:eastAsia="仿宋"/>
          <w:b w:val="0"/>
          <w:bCs w:val="0"/>
        </w:rPr>
        <w:t>入支出决算总表</w:t>
      </w:r>
      <w:bookmarkEnd w:id="85"/>
      <w:bookmarkEnd w:id="86"/>
    </w:p>
    <w:p>
      <w:pPr>
        <w:pStyle w:val="7"/>
        <w:rPr>
          <w:rFonts w:ascii="仿宋" w:hAnsi="仿宋" w:eastAsia="仿宋"/>
        </w:rPr>
      </w:pPr>
      <w:bookmarkStart w:id="87" w:name="_Toc15396620"/>
      <w:bookmarkStart w:id="88" w:name="_Toc14170"/>
      <w:r>
        <w:rPr>
          <w:rFonts w:hint="eastAsia" w:ascii="仿宋" w:hAnsi="仿宋" w:eastAsia="仿宋"/>
          <w:b w:val="0"/>
        </w:rPr>
        <w:t>二、收</w:t>
      </w:r>
      <w:r>
        <w:rPr>
          <w:rStyle w:val="30"/>
          <w:rFonts w:hint="eastAsia" w:ascii="仿宋" w:hAnsi="仿宋" w:eastAsia="仿宋"/>
          <w:b w:val="0"/>
          <w:bCs w:val="0"/>
        </w:rPr>
        <w:t>入决算表</w:t>
      </w:r>
      <w:bookmarkEnd w:id="87"/>
      <w:bookmarkEnd w:id="88"/>
    </w:p>
    <w:p>
      <w:pPr>
        <w:pStyle w:val="7"/>
        <w:rPr>
          <w:rFonts w:ascii="仿宋" w:hAnsi="仿宋" w:eastAsia="仿宋"/>
        </w:rPr>
      </w:pPr>
      <w:bookmarkStart w:id="89" w:name="_Toc18846"/>
      <w:bookmarkStart w:id="90" w:name="_Toc15396621"/>
      <w:r>
        <w:rPr>
          <w:rStyle w:val="30"/>
          <w:rFonts w:hint="eastAsia" w:ascii="仿宋" w:hAnsi="仿宋" w:eastAsia="仿宋"/>
          <w:b w:val="0"/>
          <w:bCs w:val="0"/>
        </w:rPr>
        <w:t>三、</w:t>
      </w:r>
      <w:r>
        <w:rPr>
          <w:rFonts w:hint="eastAsia" w:ascii="仿宋" w:hAnsi="仿宋" w:eastAsia="仿宋"/>
          <w:b w:val="0"/>
        </w:rPr>
        <w:t>支</w:t>
      </w:r>
      <w:r>
        <w:rPr>
          <w:rStyle w:val="30"/>
          <w:rFonts w:hint="eastAsia" w:ascii="仿宋" w:hAnsi="仿宋" w:eastAsia="仿宋"/>
          <w:b w:val="0"/>
          <w:bCs w:val="0"/>
        </w:rPr>
        <w:t>出决算表</w:t>
      </w:r>
      <w:bookmarkEnd w:id="89"/>
      <w:bookmarkEnd w:id="90"/>
    </w:p>
    <w:p>
      <w:pPr>
        <w:pStyle w:val="7"/>
        <w:rPr>
          <w:rFonts w:ascii="仿宋" w:hAnsi="仿宋" w:eastAsia="仿宋"/>
          <w:b w:val="0"/>
        </w:rPr>
      </w:pPr>
      <w:bookmarkStart w:id="91" w:name="_Toc2863"/>
      <w:bookmarkStart w:id="92" w:name="_Toc15396622"/>
      <w:r>
        <w:rPr>
          <w:rStyle w:val="30"/>
          <w:rFonts w:hint="eastAsia" w:ascii="仿宋" w:hAnsi="仿宋" w:eastAsia="仿宋"/>
          <w:b w:val="0"/>
          <w:bCs w:val="0"/>
        </w:rPr>
        <w:t>四、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30"/>
          <w:rFonts w:hint="eastAsia" w:ascii="仿宋" w:hAnsi="仿宋" w:eastAsia="仿宋"/>
          <w:b w:val="0"/>
          <w:bCs w:val="0"/>
        </w:rPr>
        <w:t>政拨款收入支出决算总表</w:t>
      </w:r>
      <w:bookmarkEnd w:id="91"/>
      <w:bookmarkEnd w:id="92"/>
    </w:p>
    <w:p>
      <w:pPr>
        <w:pStyle w:val="7"/>
        <w:rPr>
          <w:rStyle w:val="30"/>
          <w:rFonts w:ascii="仿宋" w:hAnsi="仿宋" w:eastAsia="仿宋"/>
          <w:b w:val="0"/>
          <w:bCs w:val="0"/>
        </w:rPr>
      </w:pPr>
      <w:bookmarkStart w:id="93" w:name="_Toc15396623"/>
      <w:bookmarkStart w:id="94" w:name="_Toc26517"/>
      <w:r>
        <w:rPr>
          <w:rStyle w:val="30"/>
          <w:rFonts w:hint="eastAsia" w:ascii="仿宋" w:hAnsi="仿宋" w:eastAsia="仿宋"/>
          <w:b w:val="0"/>
          <w:bCs w:val="0"/>
        </w:rPr>
        <w:t>五、</w:t>
      </w:r>
      <w:r>
        <w:rPr>
          <w:rFonts w:hint="eastAsia" w:ascii="仿宋" w:hAnsi="仿宋" w:eastAsia="仿宋"/>
          <w:b w:val="0"/>
        </w:rPr>
        <w:t>财</w:t>
      </w:r>
      <w:r>
        <w:rPr>
          <w:rStyle w:val="30"/>
          <w:rFonts w:hint="eastAsia" w:ascii="仿宋" w:hAnsi="仿宋" w:eastAsia="仿宋"/>
          <w:b w:val="0"/>
          <w:bCs w:val="0"/>
        </w:rPr>
        <w:t>政拨款支出决算明细表</w:t>
      </w:r>
      <w:bookmarkEnd w:id="93"/>
      <w:bookmarkEnd w:id="94"/>
      <w:bookmarkStart w:id="95" w:name="_Toc15396624"/>
    </w:p>
    <w:p>
      <w:pPr>
        <w:pStyle w:val="7"/>
        <w:rPr>
          <w:rFonts w:ascii="仿宋" w:hAnsi="仿宋" w:eastAsia="仿宋"/>
        </w:rPr>
      </w:pPr>
      <w:bookmarkStart w:id="96" w:name="_Toc4228"/>
      <w:r>
        <w:rPr>
          <w:rStyle w:val="30"/>
          <w:rFonts w:hint="eastAsia" w:ascii="仿宋" w:hAnsi="仿宋" w:eastAsia="仿宋"/>
          <w:b w:val="0"/>
          <w:bCs w:val="0"/>
        </w:rPr>
        <w:t>六、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般公共预算财政拨款支出决算表</w:t>
      </w:r>
      <w:bookmarkEnd w:id="95"/>
      <w:bookmarkEnd w:id="96"/>
    </w:p>
    <w:p>
      <w:pPr>
        <w:pStyle w:val="7"/>
        <w:rPr>
          <w:rFonts w:ascii="仿宋" w:hAnsi="仿宋" w:eastAsia="仿宋"/>
        </w:rPr>
      </w:pPr>
      <w:bookmarkStart w:id="97" w:name="_Toc15396625"/>
      <w:bookmarkStart w:id="98" w:name="_Toc14079"/>
      <w:r>
        <w:rPr>
          <w:rStyle w:val="30"/>
          <w:rFonts w:hint="eastAsia" w:ascii="仿宋" w:hAnsi="仿宋" w:eastAsia="仿宋"/>
          <w:b w:val="0"/>
          <w:bCs w:val="0"/>
        </w:rPr>
        <w:t>七、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般公共预算财政拨款支出决算明细表</w:t>
      </w:r>
      <w:bookmarkEnd w:id="97"/>
      <w:bookmarkEnd w:id="98"/>
    </w:p>
    <w:p>
      <w:pPr>
        <w:pStyle w:val="7"/>
        <w:rPr>
          <w:rFonts w:ascii="仿宋" w:hAnsi="仿宋" w:eastAsia="仿宋"/>
        </w:rPr>
      </w:pPr>
      <w:bookmarkStart w:id="99" w:name="_Toc3241"/>
      <w:bookmarkStart w:id="100" w:name="_Toc15396626"/>
      <w:r>
        <w:rPr>
          <w:rStyle w:val="30"/>
          <w:rFonts w:hint="eastAsia" w:ascii="仿宋" w:hAnsi="仿宋" w:eastAsia="仿宋"/>
          <w:b w:val="0"/>
          <w:bCs w:val="0"/>
        </w:rPr>
        <w:t>八、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般公共预算财政拨款基本支出决算表</w:t>
      </w:r>
      <w:bookmarkEnd w:id="99"/>
      <w:bookmarkEnd w:id="100"/>
    </w:p>
    <w:p>
      <w:pPr>
        <w:pStyle w:val="7"/>
        <w:rPr>
          <w:rFonts w:ascii="仿宋" w:hAnsi="仿宋" w:eastAsia="仿宋"/>
        </w:rPr>
      </w:pPr>
      <w:bookmarkStart w:id="101" w:name="_Toc15396627"/>
      <w:bookmarkStart w:id="102" w:name="_Toc27015"/>
      <w:r>
        <w:rPr>
          <w:rStyle w:val="30"/>
          <w:rFonts w:hint="eastAsia" w:ascii="仿宋" w:hAnsi="仿宋" w:eastAsia="仿宋"/>
          <w:b w:val="0"/>
          <w:bCs w:val="0"/>
        </w:rPr>
        <w:t>九、</w:t>
      </w:r>
      <w:r>
        <w:rPr>
          <w:rFonts w:hint="eastAsia" w:ascii="仿宋" w:hAnsi="仿宋" w:eastAsia="仿宋"/>
          <w:b w:val="0"/>
        </w:rPr>
        <w:t>一</w:t>
      </w:r>
      <w:r>
        <w:rPr>
          <w:rStyle w:val="30"/>
          <w:rFonts w:hint="eastAsia" w:ascii="仿宋" w:hAnsi="仿宋" w:eastAsia="仿宋"/>
          <w:b w:val="0"/>
          <w:bCs w:val="0"/>
        </w:rPr>
        <w:t>般公共预算财政拨款项目支出决算表</w:t>
      </w:r>
      <w:bookmarkEnd w:id="101"/>
      <w:bookmarkEnd w:id="102"/>
    </w:p>
    <w:p>
      <w:pPr>
        <w:pStyle w:val="7"/>
        <w:rPr>
          <w:rFonts w:ascii="仿宋" w:hAnsi="仿宋" w:eastAsia="仿宋"/>
        </w:rPr>
      </w:pPr>
      <w:bookmarkStart w:id="103" w:name="_Toc15396628"/>
      <w:bookmarkStart w:id="104" w:name="_Toc19919"/>
      <w:r>
        <w:rPr>
          <w:rStyle w:val="30"/>
          <w:rFonts w:hint="eastAsia" w:ascii="仿宋" w:hAnsi="仿宋" w:eastAsia="仿宋"/>
          <w:b w:val="0"/>
          <w:bCs w:val="0"/>
        </w:rPr>
        <w:t>十、</w:t>
      </w:r>
      <w:bookmarkEnd w:id="103"/>
      <w:r>
        <w:rPr>
          <w:rFonts w:hint="eastAsia" w:ascii="仿宋" w:hAnsi="仿宋" w:eastAsia="仿宋"/>
          <w:b w:val="0"/>
        </w:rPr>
        <w:t>政</w:t>
      </w:r>
      <w:r>
        <w:rPr>
          <w:rStyle w:val="30"/>
          <w:rFonts w:hint="eastAsia" w:ascii="仿宋" w:hAnsi="仿宋" w:eastAsia="仿宋"/>
          <w:b w:val="0"/>
          <w:bCs w:val="0"/>
        </w:rPr>
        <w:t>府性基金预算财政拨款收入支出决算表</w:t>
      </w:r>
      <w:bookmarkEnd w:id="104"/>
    </w:p>
    <w:p>
      <w:pPr>
        <w:pStyle w:val="7"/>
        <w:rPr>
          <w:rFonts w:ascii="仿宋" w:hAnsi="仿宋" w:eastAsia="仿宋"/>
        </w:rPr>
      </w:pPr>
      <w:bookmarkStart w:id="105" w:name="_Toc15396629"/>
      <w:bookmarkStart w:id="106" w:name="_Toc13059"/>
      <w:r>
        <w:rPr>
          <w:rStyle w:val="30"/>
          <w:rFonts w:hint="eastAsia" w:ascii="仿宋" w:hAnsi="仿宋" w:eastAsia="仿宋"/>
          <w:b w:val="0"/>
          <w:bCs w:val="0"/>
        </w:rPr>
        <w:t>十一、</w:t>
      </w:r>
      <w:bookmarkEnd w:id="105"/>
      <w:r>
        <w:rPr>
          <w:rFonts w:hint="eastAsia" w:ascii="仿宋" w:hAnsi="仿宋" w:eastAsia="仿宋"/>
          <w:b w:val="0"/>
        </w:rPr>
        <w:t>国</w:t>
      </w:r>
      <w:r>
        <w:rPr>
          <w:rStyle w:val="30"/>
          <w:rFonts w:hint="eastAsia" w:ascii="仿宋" w:hAnsi="仿宋" w:eastAsia="仿宋"/>
          <w:b w:val="0"/>
          <w:bCs w:val="0"/>
        </w:rPr>
        <w:t>有资本经营预算财政拨款收入支出决算表</w:t>
      </w:r>
      <w:bookmarkEnd w:id="106"/>
    </w:p>
    <w:p>
      <w:pPr>
        <w:pStyle w:val="7"/>
        <w:rPr>
          <w:rFonts w:ascii="仿宋" w:hAnsi="仿宋" w:eastAsia="仿宋"/>
        </w:rPr>
      </w:pPr>
      <w:bookmarkStart w:id="107" w:name="_Toc15396630"/>
      <w:bookmarkStart w:id="108" w:name="_Toc1326"/>
      <w:r>
        <w:rPr>
          <w:rStyle w:val="30"/>
          <w:rFonts w:hint="eastAsia" w:ascii="仿宋" w:hAnsi="仿宋" w:eastAsia="仿宋"/>
          <w:b w:val="0"/>
          <w:bCs w:val="0"/>
        </w:rPr>
        <w:t>十二、</w:t>
      </w:r>
      <w:bookmarkEnd w:id="107"/>
      <w:r>
        <w:rPr>
          <w:rStyle w:val="30"/>
          <w:rFonts w:hint="eastAsia" w:ascii="仿宋" w:hAnsi="仿宋" w:eastAsia="仿宋"/>
          <w:b w:val="0"/>
          <w:bCs w:val="0"/>
        </w:rPr>
        <w:t>国有资本经营预算财政拨款支出决算表</w:t>
      </w:r>
      <w:bookmarkEnd w:id="108"/>
    </w:p>
    <w:p>
      <w:pPr>
        <w:pStyle w:val="7"/>
        <w:rPr>
          <w:rFonts w:eastAsia="仿宋"/>
        </w:rPr>
      </w:pPr>
      <w:bookmarkStart w:id="109" w:name="_Toc15396631"/>
      <w:bookmarkStart w:id="110" w:name="_Toc8580"/>
      <w:r>
        <w:rPr>
          <w:rStyle w:val="30"/>
          <w:rFonts w:hint="eastAsia" w:ascii="仿宋" w:hAnsi="仿宋" w:eastAsia="仿宋"/>
          <w:b w:val="0"/>
          <w:bCs w:val="0"/>
        </w:rPr>
        <w:t>十三、</w:t>
      </w:r>
      <w:bookmarkEnd w:id="109"/>
      <w:r>
        <w:rPr>
          <w:rStyle w:val="30"/>
          <w:rFonts w:hint="eastAsia" w:ascii="仿宋" w:hAnsi="仿宋" w:eastAsia="仿宋"/>
          <w:b w:val="0"/>
          <w:bCs w:val="0"/>
        </w:rPr>
        <w:t>财政拨款“三公”经费支出决算表</w:t>
      </w:r>
      <w:bookmarkEnd w:id="11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4781956"/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2FA047D"/>
    <w:multiLevelType w:val="singleLevel"/>
    <w:tmpl w:val="E2FA047D"/>
    <w:lvl w:ilvl="0" w:tentative="0">
      <w:start w:val="3"/>
      <w:numFmt w:val="chineseCounting"/>
      <w:suff w:val="space"/>
      <w:lvlText w:val="第%1部分"/>
      <w:lvlJc w:val="left"/>
      <w:rPr>
        <w:rFonts w:hint="eastAsia" w:ascii="黑体" w:hAnsi="黑体" w:eastAsia="黑体" w:cs="黑体"/>
        <w:sz w:val="44"/>
        <w:szCs w:val="44"/>
      </w:rPr>
    </w:lvl>
  </w:abstractNum>
  <w:abstractNum w:abstractNumId="2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jZhOThhOGZiYzQwNWYwZTFhMmI3MTU3Nzg2NjEifQ=="/>
  </w:docVars>
  <w:rsids>
    <w:rsidRoot w:val="00F1361C"/>
    <w:rsid w:val="000222C6"/>
    <w:rsid w:val="0002549F"/>
    <w:rsid w:val="000409D9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A3C1B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C7CD4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D7BF4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87AA4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0E31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575B9"/>
    <w:rsid w:val="0096294D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873A9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1671B"/>
    <w:rsid w:val="00C33E72"/>
    <w:rsid w:val="00C354B2"/>
    <w:rsid w:val="00C35554"/>
    <w:rsid w:val="00C42709"/>
    <w:rsid w:val="00C533CC"/>
    <w:rsid w:val="00C56F3A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53A62B5"/>
    <w:rsid w:val="06035A0B"/>
    <w:rsid w:val="0A2032A3"/>
    <w:rsid w:val="0B8A37D8"/>
    <w:rsid w:val="0DD71E98"/>
    <w:rsid w:val="0E954EF5"/>
    <w:rsid w:val="10C055FF"/>
    <w:rsid w:val="10CA1840"/>
    <w:rsid w:val="116E2B13"/>
    <w:rsid w:val="118107EC"/>
    <w:rsid w:val="11DD6519"/>
    <w:rsid w:val="15EA64E1"/>
    <w:rsid w:val="15FB249C"/>
    <w:rsid w:val="16BB723D"/>
    <w:rsid w:val="16FD4421"/>
    <w:rsid w:val="17DD622C"/>
    <w:rsid w:val="18015F3F"/>
    <w:rsid w:val="1B192484"/>
    <w:rsid w:val="1B1B60E1"/>
    <w:rsid w:val="1BE8440E"/>
    <w:rsid w:val="1D155CEE"/>
    <w:rsid w:val="20F57F95"/>
    <w:rsid w:val="210C7C53"/>
    <w:rsid w:val="233B6426"/>
    <w:rsid w:val="240371BF"/>
    <w:rsid w:val="25711CC6"/>
    <w:rsid w:val="25C741E6"/>
    <w:rsid w:val="26F646D5"/>
    <w:rsid w:val="27766CAE"/>
    <w:rsid w:val="27842671"/>
    <w:rsid w:val="29FD04D3"/>
    <w:rsid w:val="2ABE7A3E"/>
    <w:rsid w:val="2C292267"/>
    <w:rsid w:val="2C967B1C"/>
    <w:rsid w:val="2CA234A8"/>
    <w:rsid w:val="2ECA4F8B"/>
    <w:rsid w:val="2EFA178C"/>
    <w:rsid w:val="30B46D73"/>
    <w:rsid w:val="31577141"/>
    <w:rsid w:val="319F7F4E"/>
    <w:rsid w:val="3340381D"/>
    <w:rsid w:val="341D4D0F"/>
    <w:rsid w:val="346040E6"/>
    <w:rsid w:val="36E921AB"/>
    <w:rsid w:val="376B0711"/>
    <w:rsid w:val="383D272C"/>
    <w:rsid w:val="39AE70AB"/>
    <w:rsid w:val="3B8C2115"/>
    <w:rsid w:val="3C0C0783"/>
    <w:rsid w:val="3F127D23"/>
    <w:rsid w:val="3F9F3A96"/>
    <w:rsid w:val="416B044F"/>
    <w:rsid w:val="46584C1D"/>
    <w:rsid w:val="48BF60AB"/>
    <w:rsid w:val="493C27E9"/>
    <w:rsid w:val="496F39ED"/>
    <w:rsid w:val="49FF41D3"/>
    <w:rsid w:val="4BE068DB"/>
    <w:rsid w:val="4BF6002B"/>
    <w:rsid w:val="4E62740C"/>
    <w:rsid w:val="4ECE2238"/>
    <w:rsid w:val="51DB4B86"/>
    <w:rsid w:val="52157E66"/>
    <w:rsid w:val="527F1783"/>
    <w:rsid w:val="55333C3E"/>
    <w:rsid w:val="554A7E27"/>
    <w:rsid w:val="560501F2"/>
    <w:rsid w:val="56B23ED5"/>
    <w:rsid w:val="56D906A2"/>
    <w:rsid w:val="585522E6"/>
    <w:rsid w:val="593A6404"/>
    <w:rsid w:val="5BEC3F4A"/>
    <w:rsid w:val="5DB34A67"/>
    <w:rsid w:val="607B31B3"/>
    <w:rsid w:val="60F64D17"/>
    <w:rsid w:val="620E1DBB"/>
    <w:rsid w:val="64CA39A1"/>
    <w:rsid w:val="675A0C66"/>
    <w:rsid w:val="69630ADE"/>
    <w:rsid w:val="6C4A05C8"/>
    <w:rsid w:val="6CA717CE"/>
    <w:rsid w:val="6D3B1A89"/>
    <w:rsid w:val="6DB1246A"/>
    <w:rsid w:val="71BF4EC2"/>
    <w:rsid w:val="72734D90"/>
    <w:rsid w:val="7412278C"/>
    <w:rsid w:val="74FA31C0"/>
    <w:rsid w:val="779B44C7"/>
    <w:rsid w:val="79E7B28D"/>
    <w:rsid w:val="7AD53E17"/>
    <w:rsid w:val="7F9F20EE"/>
    <w:rsid w:val="9E3A10E2"/>
    <w:rsid w:val="F2E1F9D4"/>
    <w:rsid w:val="F78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7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">
    <w:name w:val="heading 3"/>
    <w:basedOn w:val="1"/>
    <w:next w:val="1"/>
    <w:link w:val="3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link w:val="26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9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10">
    <w:name w:val="Plain Text"/>
    <w:basedOn w:val="1"/>
    <w:qFormat/>
    <w:uiPriority w:val="99"/>
    <w:rPr>
      <w:rFonts w:ascii="宋体" w:hAnsi="Courier New" w:eastAsia="仿宋_GB2312" w:cs="Courier New"/>
      <w:b/>
      <w:sz w:val="32"/>
      <w:szCs w:val="21"/>
    </w:rPr>
  </w:style>
  <w:style w:type="paragraph" w:styleId="11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3">
    <w:name w:val="header"/>
    <w:basedOn w:val="1"/>
    <w:link w:val="2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5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9">
    <w:name w:val="Strong"/>
    <w:basedOn w:val="18"/>
    <w:qFormat/>
    <w:uiPriority w:val="99"/>
    <w:rPr>
      <w:b/>
    </w:rPr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Header Char"/>
    <w:basedOn w:val="18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2">
    <w:name w:val="页眉 字符"/>
    <w:link w:val="13"/>
    <w:semiHidden/>
    <w:qFormat/>
    <w:locked/>
    <w:uiPriority w:val="99"/>
    <w:rPr>
      <w:sz w:val="18"/>
    </w:rPr>
  </w:style>
  <w:style w:type="character" w:customStyle="1" w:styleId="23">
    <w:name w:val="Footer Char"/>
    <w:basedOn w:val="18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4">
    <w:name w:val="页脚 字符"/>
    <w:link w:val="12"/>
    <w:qFormat/>
    <w:locked/>
    <w:uiPriority w:val="99"/>
    <w:rPr>
      <w:sz w:val="18"/>
    </w:rPr>
  </w:style>
  <w:style w:type="character" w:customStyle="1" w:styleId="25">
    <w:name w:val="Body Text Char"/>
    <w:basedOn w:val="18"/>
    <w:semiHidden/>
    <w:qFormat/>
    <w:uiPriority w:val="99"/>
    <w:rPr>
      <w:rFonts w:ascii="Times New Roman" w:hAnsi="Times New Roman"/>
      <w:szCs w:val="24"/>
    </w:rPr>
  </w:style>
  <w:style w:type="character" w:customStyle="1" w:styleId="26">
    <w:name w:val="正文文本 字符"/>
    <w:link w:val="5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标题 1 字符"/>
    <w:basedOn w:val="18"/>
    <w:link w:val="6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0">
    <w:name w:val="标题 2 字符"/>
    <w:basedOn w:val="18"/>
    <w:link w:val="7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1">
    <w:name w:val="TOC 标题1"/>
    <w:basedOn w:val="6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2">
    <w:name w:val="批注框文本 字符"/>
    <w:basedOn w:val="18"/>
    <w:link w:val="11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3">
    <w:name w:val="标题 3 字符"/>
    <w:basedOn w:val="18"/>
    <w:link w:val="8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4">
    <w:name w:val="TOC 标题2"/>
    <w:basedOn w:val="6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&#35199;&#24217;\AppData\Local\Temp\Temp5afb70ab-6743-4faf-a92b-538a4ba27836_&#20844;&#24320;&#21450;&#25209;&#22797;&#26448;&#26009;&#65288;&#20379;&#21442;&#32771;&#65289;.zip\&#20844;&#24320;&#21450;&#25209;&#22797;&#26448;&#26009;&#65288;&#20379;&#21442;&#32771;&#65289;\&#30465;&#26412;&#32423;\&#20844;&#24320;&#26448;&#26009;\&#20915;&#31639;&#20844;&#24320;&#25554;&#22270;&#21046;&#20316;&#31034;&#2036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35199;&#24217;\Desktop\&#20915;&#31639;&#20844;&#24320;&#25554;&#22270;&#21046;&#20316;&#31034;&#2036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35199;&#24217;\Desktop\&#20915;&#31639;&#20844;&#24320;&#25554;&#22270;&#21046;&#20316;&#31034;&#20363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35199;&#24217;\Desktop\&#20915;&#31639;&#20844;&#24320;&#25554;&#22270;&#21046;&#20316;&#31034;&#2036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2:</a:t>
            </a:r>
            <a:r>
              <a:rPr altLang="en-US"/>
              <a:t>收入决算结构图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342013888888889"/>
          <c:y val="0.176388888888889"/>
          <c:w val="0.324305555555556"/>
          <c:h val="0.540509259259259"/>
        </c:manualLayout>
      </c:layout>
      <c:pieChart>
        <c:varyColors val="1"/>
        <c:ser>
          <c:idx val="0"/>
          <c:order val="0"/>
          <c:spPr/>
          <c:explosion val="0"/>
          <c:dLbls>
            <c:delete val="1"/>
          </c:dLbls>
          <c:cat>
            <c:strRef>
              <c:f>[决算公开插图制作示例.xlsx]图二!$A$1:$A$6</c:f>
              <c:strCache>
                <c:ptCount val="6"/>
                <c:pt idx="0">
                  <c:v>一、一般公共预算财政拨款收入</c:v>
                </c:pt>
                <c:pt idx="3">
                  <c:v>四、事业收入</c:v>
                </c:pt>
                <c:pt idx="5">
                  <c:v>六、其他收入</c:v>
                </c:pt>
              </c:strCache>
            </c:strRef>
          </c:cat>
          <c:val>
            <c:numRef>
              <c:f>[决算公开插图制作示例.xlsx]图二!$B$1:$B$6</c:f>
            </c:numRef>
          </c:val>
        </c:ser>
        <c:ser>
          <c:idx val="1"/>
          <c:order val="1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1"/>
              <c:layout>
                <c:manualLayout>
                  <c:x val="0.0321654287916653"/>
                  <c:y val="-0.14979027458553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[决算公开插图制作示例.xlsx]图二!$A$1:$A$6</c:f>
              <c:strCache>
                <c:ptCount val="6"/>
                <c:pt idx="0">
                  <c:v>一、一般公共预算财政拨款收入</c:v>
                </c:pt>
                <c:pt idx="3">
                  <c:v>四、事业收入</c:v>
                </c:pt>
                <c:pt idx="5">
                  <c:v>六、其他收入</c:v>
                </c:pt>
              </c:strCache>
            </c:strRef>
          </c:cat>
          <c:val>
            <c:numRef>
              <c:f>[决算公开插图制作示例.xlsx]图二!$C$1:$C$6</c:f>
              <c:numCache>
                <c:formatCode>0.00%</c:formatCode>
                <c:ptCount val="6"/>
                <c:pt idx="0">
                  <c:v>0.4</c:v>
                </c:pt>
                <c:pt idx="3">
                  <c:v>0.59</c:v>
                </c:pt>
                <c:pt idx="5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9224846894138"/>
          <c:y val="0.150462962962963"/>
          <c:w val="0.566371172353456"/>
          <c:h val="0.689814814814815"/>
        </c:manualLayout>
      </c:layout>
      <c:pie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>
                <c:manualLayout>
                  <c:x val="0.0848707349081365"/>
                  <c:y val="-0.17157334499854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86458880139982"/>
                  <c:y val="0.140147273257509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[决算公开插图制作示例.xlsx]图三!$A$2:$B$2</c:f>
              <c:strCache>
                <c:ptCount val="2"/>
                <c:pt idx="0">
                  <c:v>基本支出</c:v>
                </c:pt>
                <c:pt idx="1">
                  <c:v>项目支出</c:v>
                </c:pt>
              </c:strCache>
            </c:strRef>
          </c:cat>
          <c:val>
            <c:numRef>
              <c:f>[决算公开插图制作示例.xlsx]图三!$A$3:$B$3</c:f>
              <c:numCache>
                <c:formatCode>0.00%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5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77043088363955"/>
          <c:y val="0.434801326917469"/>
          <c:w val="0.186845800524934"/>
          <c:h val="0.1674343832021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  <c:spPr>
              <a:solidFill>
                <a:schemeClr val="tx2">
                  <a:lumMod val="40000"/>
                  <a:lumOff val="60000"/>
                </a:schemeClr>
              </a:solidFill>
            </c:spPr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0.0483216316710411"/>
                  <c:y val="0.097738043161271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546208442694663"/>
                  <c:y val="-0.035963108778069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00951443569554"/>
                  <c:y val="-0.13227836103820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66543197725284"/>
                  <c:y val="-0.10867344706911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[决算公开插图制作示例.xlsx]图6!$A$2:$A$5</c:f>
              <c:strCache>
                <c:ptCount val="4"/>
                <c:pt idx="0">
                  <c:v>一般公共服务（类）支出</c:v>
                </c:pt>
                <c:pt idx="1">
                  <c:v>社会保障和就业（类）支出</c:v>
                </c:pt>
                <c:pt idx="2">
                  <c:v>卫生健康(类)支出</c:v>
                </c:pt>
                <c:pt idx="3">
                  <c:v>住房保障（类）支出</c:v>
                </c:pt>
              </c:strCache>
            </c:strRef>
          </c:cat>
          <c:val>
            <c:numRef>
              <c:f>[决算公开插图制作示例.xlsx]图6!$B$2:$B$5</c:f>
              <c:numCache>
                <c:formatCode>General</c:formatCode>
                <c:ptCount val="4"/>
                <c:pt idx="0">
                  <c:v>106.73</c:v>
                </c:pt>
                <c:pt idx="1">
                  <c:v>7.36</c:v>
                </c:pt>
                <c:pt idx="2">
                  <c:v>96.31</c:v>
                </c:pt>
                <c:pt idx="3">
                  <c:v>3.06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5"/>
      </c:pieChart>
      <c:spPr>
        <a:noFill/>
        <a:ln>
          <a:noFill/>
        </a:ln>
        <a:effectLst/>
      </c:spPr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explosion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0"/>
              <c:layout>
                <c:manualLayout>
                  <c:x val="-0.0677309711286089"/>
                  <c:y val="-0.062589676290463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12130139982502"/>
                  <c:y val="-0.049858194808982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179491251093613"/>
                  <c:y val="0.054969743365412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[决算公开插图制作示例.xlsx]图7!$A$2:$A$4</c:f>
              <c:strCache>
                <c:ptCount val="3"/>
                <c:pt idx="0">
                  <c:v>因公出国（境）费支出</c:v>
                </c:pt>
                <c:pt idx="1">
                  <c:v>公务用车购置及运行维护费支出</c:v>
                </c:pt>
                <c:pt idx="2">
                  <c:v>公务接待费支出</c:v>
                </c:pt>
              </c:strCache>
            </c:strRef>
          </c:cat>
          <c:val>
            <c:numRef>
              <c:f>[决算公开插图制作示例.xlsx]图7!$B$2:$B$4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0.14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5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64920094314907"/>
          <c:y val="0.341517389739563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17</Pages>
  <Words>5274</Words>
  <Characters>626</Characters>
  <Lines>5</Lines>
  <Paragraphs>11</Paragraphs>
  <TotalTime>0</TotalTime>
  <ScaleCrop>false</ScaleCrop>
  <LinksUpToDate>false</LinksUpToDate>
  <CharactersWithSpaces>5889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2020-08-05T01:49:00Z</dcterms:created>
  <dc:creator>曹颖</dc:creator>
  <cp:lastModifiedBy>NO LOVE</cp:lastModifiedBy>
  <cp:lastPrinted>2023-07-31T02:35:00Z</cp:lastPrinted>
  <dcterms:modified xsi:type="dcterms:W3CDTF">2023-10-31T02:44:05Z</dcterms:modified>
  <dc:title>四川省***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18226BBC6A4A46C0827D16B62309E40D_12</vt:lpwstr>
  </property>
</Properties>
</file>