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outlineLvl w:val="0"/>
        <w:rPr>
          <w:rFonts w:ascii="方正小标宋简体" w:hAnsi="宋体" w:eastAsia="方正小标宋简体"/>
          <w:szCs w:val="21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1" w:name="_Toc26873"/>
      <w:bookmarkStart w:id="2" w:name="_Toc15378441"/>
      <w:bookmarkStart w:id="3" w:name="_Toc15396475"/>
      <w:bookmarkStart w:id="4" w:name="_Toc15396597"/>
      <w:bookmarkStart w:id="5" w:name="_Toc15377193"/>
      <w:bookmarkStart w:id="6" w:name="_Toc15377425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2022年度</w:t>
      </w:r>
      <w:bookmarkEnd w:id="1"/>
      <w:bookmarkEnd w:id="2"/>
      <w:bookmarkEnd w:id="3"/>
      <w:bookmarkEnd w:id="4"/>
      <w:bookmarkEnd w:id="5"/>
      <w:bookmarkEnd w:id="6"/>
    </w:p>
    <w:p>
      <w:pPr>
        <w:adjustRightInd w:val="0"/>
        <w:snapToGrid w:val="0"/>
        <w:spacing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72"/>
          <w:szCs w:val="72"/>
        </w:rPr>
      </w:pPr>
      <w:bookmarkStart w:id="7" w:name="_Toc15396476"/>
      <w:bookmarkStart w:id="8" w:name="_Toc15377194"/>
      <w:bookmarkStart w:id="9" w:name="_Toc15377426"/>
      <w:bookmarkStart w:id="10" w:name="_Toc15396598"/>
      <w:bookmarkStart w:id="11" w:name="_Toc15378442"/>
      <w:bookmarkStart w:id="12" w:name="_Toc12650"/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剑阁县</w:t>
      </w:r>
      <w:bookmarkEnd w:id="0"/>
      <w:bookmarkStart w:id="13" w:name="_Toc15306268"/>
      <w:r>
        <w:rPr>
          <w:rFonts w:hint="eastAsia" w:ascii="方正小标宋简体" w:hAnsi="方正小标宋简体" w:eastAsia="方正小标宋简体" w:cs="方正小标宋简体"/>
          <w:sz w:val="72"/>
          <w:szCs w:val="72"/>
          <w:lang w:val="en-US" w:eastAsia="zh-CN"/>
        </w:rPr>
        <w:t>盐店镇西庙卫生院</w:t>
      </w: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单位决算</w:t>
      </w:r>
      <w:bookmarkEnd w:id="7"/>
      <w:bookmarkEnd w:id="8"/>
      <w:bookmarkEnd w:id="9"/>
      <w:bookmarkEnd w:id="10"/>
      <w:bookmarkEnd w:id="11"/>
      <w:bookmarkEnd w:id="12"/>
      <w:bookmarkEnd w:id="13"/>
    </w:p>
    <w:p>
      <w:pPr>
        <w:widowControl/>
        <w:jc w:val="center"/>
        <w:rPr>
          <w:rFonts w:ascii="黑体" w:hAnsi="黑体" w:eastAsia="黑体"/>
          <w:sz w:val="48"/>
          <w:szCs w:val="48"/>
        </w:rPr>
      </w:pPr>
      <w:r>
        <w:rPr>
          <w:rFonts w:ascii="方正小标宋简体" w:hAnsi="宋体" w:eastAsia="方正小标宋简体"/>
          <w:sz w:val="36"/>
          <w:szCs w:val="36"/>
        </w:rPr>
        <w:br w:type="page"/>
      </w:r>
      <w:r>
        <w:rPr>
          <w:rFonts w:hint="eastAsia" w:ascii="黑体" w:hAnsi="黑体" w:eastAsia="黑体"/>
          <w:sz w:val="48"/>
          <w:szCs w:val="48"/>
        </w:rPr>
        <w:t>目录</w:t>
      </w:r>
    </w:p>
    <w:p>
      <w:pPr>
        <w:widowControl/>
        <w:jc w:val="center"/>
        <w:rPr>
          <w:rFonts w:ascii="黑体" w:hAnsi="黑体" w:eastAsia="黑体" w:cstheme="minorBidi"/>
          <w:sz w:val="28"/>
          <w:szCs w:val="28"/>
        </w:rPr>
      </w:pPr>
    </w:p>
    <w:p>
      <w:pPr>
        <w:pStyle w:val="14"/>
      </w:pPr>
      <w:r>
        <w:rPr>
          <w:rFonts w:hint="eastAsia"/>
        </w:rPr>
        <w:t xml:space="preserve">公开时间：2023年 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 xml:space="preserve"> 日</w:t>
      </w:r>
    </w:p>
    <w:p/>
    <w:p>
      <w:pPr>
        <w:pStyle w:val="14"/>
        <w:tabs>
          <w:tab w:val="right" w:leader="dot" w:pos="8306"/>
          <w:tab w:val="clear" w:pos="8296"/>
        </w:tabs>
      </w:pPr>
      <w:r>
        <w:rPr>
          <w:sz w:val="24"/>
        </w:rPr>
        <w:fldChar w:fldCharType="begin"/>
      </w:r>
      <w:r>
        <w:rPr>
          <w:sz w:val="24"/>
        </w:rPr>
        <w:instrText xml:space="preserve">TOC \o "1-9" \h \u </w:instrText>
      </w:r>
      <w:r>
        <w:rPr>
          <w:sz w:val="24"/>
        </w:rPr>
        <w:fldChar w:fldCharType="separate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_Toc15517 </w:instrText>
      </w:r>
      <w:r>
        <w:fldChar w:fldCharType="separate"/>
      </w:r>
      <w:r>
        <w:rPr>
          <w:rFonts w:hint="eastAsia" w:ascii="黑体" w:hAnsi="黑体" w:eastAsia="黑体"/>
        </w:rPr>
        <w:t>第一部分 单位</w:t>
      </w:r>
      <w:r>
        <w:rPr>
          <w:rFonts w:hint="eastAsia" w:ascii="黑体" w:hAnsi="黑体" w:eastAsia="黑体"/>
          <w:bCs w:val="0"/>
        </w:rPr>
        <w:t>概况</w:t>
      </w:r>
      <w:r>
        <w:tab/>
      </w:r>
      <w:r>
        <w:fldChar w:fldCharType="begin"/>
      </w:r>
      <w:r>
        <w:instrText xml:space="preserve"> PAGEREF _Toc15517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_Toc15454 </w:instrText>
      </w:r>
      <w:r>
        <w:fldChar w:fldCharType="separate"/>
      </w:r>
      <w:r>
        <w:rPr>
          <w:rFonts w:hint="eastAsia" w:ascii="黑体" w:hAnsi="黑体" w:eastAsia="黑体"/>
          <w:bCs w:val="0"/>
        </w:rPr>
        <w:t>一、 主要职责</w:t>
      </w:r>
      <w:r>
        <w:tab/>
      </w:r>
      <w:r>
        <w:fldChar w:fldCharType="begin"/>
      </w:r>
      <w:r>
        <w:instrText xml:space="preserve"> PAGEREF _Toc15454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_Toc11324 </w:instrText>
      </w:r>
      <w:r>
        <w:fldChar w:fldCharType="separate"/>
      </w:r>
      <w:r>
        <w:rPr>
          <w:rFonts w:hint="eastAsia"/>
          <w:lang w:val="en-US" w:eastAsia="zh-CN"/>
        </w:rPr>
        <w:t>二</w:t>
      </w:r>
      <w:r>
        <w:rPr>
          <w:rFonts w:hint="eastAsia" w:ascii="黑体" w:hAnsi="黑体" w:eastAsia="黑体"/>
          <w:bCs w:val="0"/>
          <w:lang w:val="en-US" w:eastAsia="zh-CN" w:bidi="ar-SA"/>
        </w:rPr>
        <w:t>、2022年重点工作</w:t>
      </w:r>
      <w:r>
        <w:tab/>
      </w:r>
      <w:r>
        <w:fldChar w:fldCharType="begin"/>
      </w:r>
      <w:r>
        <w:instrText xml:space="preserve"> PAGEREF _Toc11324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_Toc21940 </w:instrText>
      </w:r>
      <w:r>
        <w:fldChar w:fldCharType="separate"/>
      </w:r>
      <w:r>
        <w:rPr>
          <w:rFonts w:hint="eastAsia" w:ascii="黑体" w:hAnsi="黑体" w:eastAsia="黑体"/>
          <w:lang w:val="en-US" w:eastAsia="zh-CN"/>
        </w:rPr>
        <w:t>三</w:t>
      </w:r>
      <w:r>
        <w:rPr>
          <w:rFonts w:hint="eastAsia" w:ascii="黑体" w:hAnsi="黑体" w:eastAsia="黑体"/>
        </w:rPr>
        <w:t>、 机构设置</w:t>
      </w:r>
      <w:r>
        <w:tab/>
      </w:r>
      <w:r>
        <w:fldChar w:fldCharType="begin"/>
      </w:r>
      <w:r>
        <w:instrText xml:space="preserve"> PAGEREF _Toc21940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_Toc23234 </w:instrText>
      </w:r>
      <w:r>
        <w:fldChar w:fldCharType="separate"/>
      </w:r>
      <w:r>
        <w:rPr>
          <w:rFonts w:hint="eastAsia" w:ascii="黑体" w:hAnsi="黑体" w:eastAsia="黑体"/>
        </w:rPr>
        <w:t>第二部分 2022年度</w:t>
      </w:r>
      <w:r>
        <w:rPr>
          <w:rFonts w:hint="eastAsia" w:ascii="黑体" w:hAnsi="黑体" w:eastAsia="黑体"/>
          <w:bCs/>
        </w:rPr>
        <w:t>单位决算情况说明</w:t>
      </w:r>
      <w:r>
        <w:tab/>
      </w:r>
      <w:r>
        <w:fldChar w:fldCharType="begin"/>
      </w:r>
      <w:r>
        <w:instrText xml:space="preserve"> PAGEREF _Toc23234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_Toc16680 </w:instrText>
      </w:r>
      <w:r>
        <w:fldChar w:fldCharType="separate"/>
      </w:r>
      <w:r>
        <w:rPr>
          <w:rFonts w:hint="default" w:ascii="黑体" w:hAnsi="黑体" w:eastAsia="黑体"/>
        </w:rPr>
        <w:t xml:space="preserve">一、 </w:t>
      </w:r>
      <w:r>
        <w:rPr>
          <w:rFonts w:hint="eastAsia" w:ascii="黑体" w:hAnsi="黑体" w:eastAsia="黑体"/>
          <w:szCs w:val="32"/>
        </w:rPr>
        <w:t>收</w:t>
      </w:r>
      <w:r>
        <w:rPr>
          <w:rFonts w:hint="eastAsia" w:ascii="黑体" w:hAnsi="黑体" w:eastAsia="黑体"/>
        </w:rPr>
        <w:t>入支出决算总体情况说明</w:t>
      </w:r>
      <w:r>
        <w:tab/>
      </w:r>
      <w:r>
        <w:fldChar w:fldCharType="begin"/>
      </w:r>
      <w:r>
        <w:instrText xml:space="preserve"> PAGEREF _Toc16680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_Toc32633 </w:instrText>
      </w:r>
      <w:r>
        <w:fldChar w:fldCharType="separate"/>
      </w:r>
      <w:r>
        <w:rPr>
          <w:rFonts w:hint="default" w:ascii="黑体" w:hAnsi="黑体" w:eastAsia="黑体"/>
        </w:rPr>
        <w:t xml:space="preserve">二、 </w:t>
      </w:r>
      <w:r>
        <w:rPr>
          <w:rFonts w:hint="eastAsia" w:ascii="黑体" w:hAnsi="黑体" w:eastAsia="黑体"/>
          <w:szCs w:val="32"/>
        </w:rPr>
        <w:t>收</w:t>
      </w:r>
      <w:r>
        <w:rPr>
          <w:rFonts w:hint="eastAsia" w:ascii="黑体" w:hAnsi="黑体" w:eastAsia="黑体"/>
        </w:rPr>
        <w:t>入决算情况说明</w:t>
      </w:r>
      <w:r>
        <w:tab/>
      </w:r>
      <w:r>
        <w:fldChar w:fldCharType="begin"/>
      </w:r>
      <w:r>
        <w:instrText xml:space="preserve"> PAGEREF _Toc32633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  <w:ind w:left="0" w:leftChars="0" w:firstLine="420" w:firstLineChars="200"/>
      </w:pPr>
      <w:r>
        <w:fldChar w:fldCharType="begin"/>
      </w:r>
      <w:r>
        <w:instrText xml:space="preserve"> HYPERLINK \l _Toc4250 </w:instrText>
      </w:r>
      <w:r>
        <w:fldChar w:fldCharType="separate"/>
      </w:r>
      <w:r>
        <w:rPr>
          <w:rFonts w:hint="default" w:ascii="黑体" w:hAnsi="黑体" w:eastAsia="黑体"/>
        </w:rPr>
        <w:t xml:space="preserve">三、 </w:t>
      </w:r>
      <w:r>
        <w:rPr>
          <w:rFonts w:hint="eastAsia" w:ascii="黑体" w:hAnsi="黑体" w:eastAsia="黑体"/>
          <w:szCs w:val="32"/>
        </w:rPr>
        <w:t>支</w:t>
      </w:r>
      <w:r>
        <w:rPr>
          <w:rFonts w:hint="eastAsia" w:ascii="黑体" w:hAnsi="黑体" w:eastAsia="黑体"/>
        </w:rPr>
        <w:t>出决算情况说明</w:t>
      </w:r>
      <w:r>
        <w:tab/>
      </w:r>
      <w:r>
        <w:fldChar w:fldCharType="begin"/>
      </w:r>
      <w:r>
        <w:instrText xml:space="preserve"> PAGEREF _Toc4250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_Toc32582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四、财</w:t>
      </w:r>
      <w:r>
        <w:rPr>
          <w:rFonts w:hint="eastAsia" w:ascii="黑体" w:hAnsi="黑体" w:eastAsia="黑体"/>
        </w:rPr>
        <w:t>政拨款收入支出决算总体情况说明</w:t>
      </w:r>
      <w:r>
        <w:tab/>
      </w:r>
      <w:r>
        <w:fldChar w:fldCharType="begin"/>
      </w:r>
      <w:r>
        <w:instrText xml:space="preserve"> PAGEREF _Toc32582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_Toc30849 </w:instrText>
      </w:r>
      <w:r>
        <w:fldChar w:fldCharType="separate"/>
      </w:r>
      <w:r>
        <w:rPr>
          <w:rFonts w:hint="eastAsia" w:ascii="黑体" w:hAnsi="黑体" w:eastAsia="黑体"/>
          <w:szCs w:val="32"/>
        </w:rPr>
        <w:t>五、一</w:t>
      </w:r>
      <w:r>
        <w:rPr>
          <w:rFonts w:hint="eastAsia" w:ascii="黑体" w:hAnsi="黑体" w:eastAsia="黑体"/>
        </w:rPr>
        <w:t>般公共预算财政拨款支出决算情况说明</w:t>
      </w:r>
      <w:r>
        <w:tab/>
      </w:r>
      <w:r>
        <w:fldChar w:fldCharType="begin"/>
      </w:r>
      <w:r>
        <w:instrText xml:space="preserve"> PAGEREF _Toc30849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  <w:ind w:left="0" w:leftChars="0" w:firstLine="420" w:firstLineChars="200"/>
      </w:pPr>
      <w:r>
        <w:fldChar w:fldCharType="begin"/>
      </w:r>
      <w:r>
        <w:instrText xml:space="preserve"> HYPERLINK \l _Toc24886 </w:instrText>
      </w:r>
      <w:r>
        <w:fldChar w:fldCharType="separate"/>
      </w:r>
      <w:r>
        <w:rPr>
          <w:rFonts w:hint="eastAsia" w:ascii="黑体" w:eastAsia="黑体"/>
          <w:szCs w:val="32"/>
        </w:rPr>
        <w:t>六、</w:t>
      </w:r>
      <w:r>
        <w:rPr>
          <w:rFonts w:hint="eastAsia" w:ascii="黑体" w:hAnsi="黑体" w:eastAsia="黑体"/>
          <w:szCs w:val="32"/>
        </w:rPr>
        <w:t>一</w:t>
      </w:r>
      <w:r>
        <w:rPr>
          <w:rFonts w:hint="eastAsia" w:ascii="黑体" w:hAnsi="黑体" w:eastAsia="黑体"/>
        </w:rPr>
        <w:t>般公共预算财政拨款基本支出决算情况说明</w:t>
      </w:r>
      <w:r>
        <w:tab/>
      </w:r>
      <w:r>
        <w:fldChar w:fldCharType="begin"/>
      </w:r>
      <w:r>
        <w:instrText xml:space="preserve"> PAGEREF _Toc24886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_Toc11898 </w:instrText>
      </w:r>
      <w:r>
        <w:fldChar w:fldCharType="separate"/>
      </w:r>
      <w:r>
        <w:rPr>
          <w:rFonts w:hint="eastAsia" w:ascii="黑体" w:eastAsia="黑体"/>
          <w:szCs w:val="32"/>
        </w:rPr>
        <w:t>七、</w:t>
      </w:r>
      <w:r>
        <w:rPr>
          <w:rFonts w:hint="eastAsia" w:ascii="黑体" w:hAnsi="黑体" w:eastAsia="黑体"/>
        </w:rPr>
        <w:t>财政拨款“三公”经费支出决算情况说明</w:t>
      </w:r>
      <w:r>
        <w:tab/>
      </w:r>
      <w:r>
        <w:fldChar w:fldCharType="begin"/>
      </w:r>
      <w:r>
        <w:instrText xml:space="preserve"> PAGEREF _Toc11898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  <w:ind w:left="0" w:leftChars="0" w:firstLine="420" w:firstLineChars="200"/>
      </w:pPr>
      <w:r>
        <w:fldChar w:fldCharType="begin"/>
      </w:r>
      <w:r>
        <w:instrText xml:space="preserve"> HYPERLINK \l _Toc24903 </w:instrText>
      </w:r>
      <w:r>
        <w:fldChar w:fldCharType="separate"/>
      </w:r>
      <w:r>
        <w:rPr>
          <w:rFonts w:hint="eastAsia" w:ascii="黑体" w:eastAsia="黑体"/>
          <w:szCs w:val="32"/>
        </w:rPr>
        <w:t>八、</w:t>
      </w:r>
      <w:r>
        <w:rPr>
          <w:rFonts w:hint="eastAsia" w:ascii="黑体" w:hAnsi="黑体" w:eastAsia="黑体"/>
        </w:rPr>
        <w:t>政府性基金预算支出决算情况说明</w:t>
      </w:r>
      <w:r>
        <w:tab/>
      </w:r>
      <w:r>
        <w:fldChar w:fldCharType="begin"/>
      </w:r>
      <w:r>
        <w:instrText xml:space="preserve"> PAGEREF _Toc24903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_Toc14004 </w:instrText>
      </w:r>
      <w:r>
        <w:fldChar w:fldCharType="separate"/>
      </w:r>
      <w:r>
        <w:rPr>
          <w:rFonts w:hint="eastAsia" w:ascii="黑体" w:hAnsi="黑体" w:eastAsia="黑体"/>
        </w:rPr>
        <w:t>九、 国有资本经营预算支出决算情况说明</w:t>
      </w:r>
      <w:r>
        <w:tab/>
      </w:r>
      <w:r>
        <w:fldChar w:fldCharType="begin"/>
      </w:r>
      <w:r>
        <w:instrText xml:space="preserve"> PAGEREF _Toc14004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_Toc24209 </w:instrText>
      </w:r>
      <w:r>
        <w:fldChar w:fldCharType="separate"/>
      </w:r>
      <w:r>
        <w:rPr>
          <w:rFonts w:hint="eastAsia" w:ascii="黑体" w:hAnsi="黑体" w:eastAsia="黑体"/>
        </w:rPr>
        <w:t>十、 其他重要事项的情况说明</w:t>
      </w:r>
      <w:r>
        <w:tab/>
      </w:r>
      <w:r>
        <w:fldChar w:fldCharType="begin"/>
      </w:r>
      <w:r>
        <w:instrText xml:space="preserve"> PAGEREF _Toc24209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9"/>
        <w:tabs>
          <w:tab w:val="right" w:leader="dot" w:pos="8306"/>
          <w:tab w:val="clear" w:pos="8296"/>
        </w:tabs>
      </w:pPr>
      <w:bookmarkStart w:id="111" w:name="_GoBack"/>
    </w:p>
    <w:bookmarkEnd w:id="111"/>
    <w:p>
      <w:pPr>
        <w:pStyle w:val="14"/>
        <w:tabs>
          <w:tab w:val="right" w:leader="dot" w:pos="8306"/>
          <w:tab w:val="clear" w:pos="8296"/>
        </w:tabs>
        <w:jc w:val="both"/>
      </w:pPr>
      <w:r>
        <w:fldChar w:fldCharType="begin"/>
      </w:r>
      <w:r>
        <w:instrText xml:space="preserve"> HYPERLINK \l _Toc2229 </w:instrText>
      </w:r>
      <w:r>
        <w:fldChar w:fldCharType="separate"/>
      </w:r>
      <w:r>
        <w:rPr>
          <w:rFonts w:hint="eastAsia" w:ascii="黑体" w:hAnsi="黑体" w:eastAsia="黑体" w:cs="黑体"/>
          <w:szCs w:val="44"/>
        </w:rPr>
        <w:t xml:space="preserve">第三部分 </w:t>
      </w:r>
      <w:r>
        <w:rPr>
          <w:rFonts w:hint="eastAsia" w:ascii="黑体" w:hAnsi="黑体" w:eastAsia="黑体"/>
          <w:szCs w:val="44"/>
        </w:rPr>
        <w:t>名</w:t>
      </w:r>
      <w:r>
        <w:rPr>
          <w:rFonts w:hint="eastAsia" w:ascii="黑体" w:hAnsi="黑体" w:eastAsia="黑体"/>
        </w:rPr>
        <w:t>词解释</w:t>
      </w:r>
      <w:r>
        <w:tab/>
      </w:r>
      <w:r>
        <w:fldChar w:fldCharType="begin"/>
      </w:r>
      <w:r>
        <w:instrText xml:space="preserve"> PAGEREF _Toc2229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4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_Toc13316 </w:instrText>
      </w:r>
      <w:r>
        <w:fldChar w:fldCharType="separate"/>
      </w:r>
      <w:r>
        <w:rPr>
          <w:rFonts w:hint="eastAsia" w:ascii="黑体" w:hAnsi="黑体" w:eastAsia="黑体"/>
          <w:szCs w:val="44"/>
        </w:rPr>
        <w:t>第</w:t>
      </w:r>
      <w:r>
        <w:rPr>
          <w:rFonts w:hint="eastAsia" w:ascii="黑体" w:hAnsi="黑体" w:eastAsia="黑体"/>
          <w:lang w:eastAsia="zh-CN"/>
        </w:rPr>
        <w:t>四</w:t>
      </w:r>
      <w:r>
        <w:rPr>
          <w:rFonts w:hint="eastAsia" w:ascii="黑体" w:hAnsi="黑体" w:eastAsia="黑体"/>
        </w:rPr>
        <w:t>部分 附表</w:t>
      </w:r>
      <w:r>
        <w:tab/>
      </w:r>
      <w:r>
        <w:fldChar w:fldCharType="begin"/>
      </w:r>
      <w:r>
        <w:instrText xml:space="preserve"> PAGEREF _Toc13316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_Toc18642 </w:instrText>
      </w:r>
      <w:r>
        <w:fldChar w:fldCharType="separate"/>
      </w:r>
      <w:r>
        <w:rPr>
          <w:rFonts w:hint="eastAsia" w:ascii="仿宋" w:hAnsi="仿宋" w:eastAsia="仿宋"/>
        </w:rPr>
        <w:t>一、收</w:t>
      </w:r>
      <w:r>
        <w:rPr>
          <w:rFonts w:hint="eastAsia" w:ascii="仿宋" w:hAnsi="仿宋" w:eastAsia="仿宋"/>
          <w:bCs w:val="0"/>
        </w:rPr>
        <w:t>入支出决算总表</w:t>
      </w:r>
      <w:r>
        <w:tab/>
      </w:r>
      <w:r>
        <w:fldChar w:fldCharType="begin"/>
      </w:r>
      <w:r>
        <w:instrText xml:space="preserve"> PAGEREF _Toc18642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_Toc14170 </w:instrText>
      </w:r>
      <w:r>
        <w:fldChar w:fldCharType="separate"/>
      </w:r>
      <w:r>
        <w:rPr>
          <w:rFonts w:hint="eastAsia" w:ascii="仿宋" w:hAnsi="仿宋" w:eastAsia="仿宋"/>
        </w:rPr>
        <w:t>二、收</w:t>
      </w:r>
      <w:r>
        <w:rPr>
          <w:rFonts w:hint="eastAsia" w:ascii="仿宋" w:hAnsi="仿宋" w:eastAsia="仿宋"/>
          <w:bCs w:val="0"/>
        </w:rPr>
        <w:t>入决算表</w:t>
      </w:r>
      <w:r>
        <w:tab/>
      </w:r>
      <w:r>
        <w:fldChar w:fldCharType="begin"/>
      </w:r>
      <w:r>
        <w:instrText xml:space="preserve"> PAGEREF _Toc14170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_Toc18846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三、</w:t>
      </w:r>
      <w:r>
        <w:rPr>
          <w:rFonts w:hint="eastAsia" w:ascii="仿宋" w:hAnsi="仿宋" w:eastAsia="仿宋"/>
        </w:rPr>
        <w:t>支</w:t>
      </w:r>
      <w:r>
        <w:rPr>
          <w:rFonts w:hint="eastAsia" w:ascii="仿宋" w:hAnsi="仿宋" w:eastAsia="仿宋"/>
          <w:bCs w:val="0"/>
        </w:rPr>
        <w:t>出决算表</w:t>
      </w:r>
      <w:r>
        <w:tab/>
      </w:r>
      <w:r>
        <w:fldChar w:fldCharType="begin"/>
      </w:r>
      <w:r>
        <w:instrText xml:space="preserve"> PAGEREF _Toc18846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_Toc2863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四、</w:t>
      </w:r>
      <w:r>
        <w:rPr>
          <w:rFonts w:hint="eastAsia" w:ascii="仿宋" w:hAnsi="仿宋" w:eastAsia="仿宋"/>
        </w:rPr>
        <w:t>财</w:t>
      </w:r>
      <w:r>
        <w:rPr>
          <w:rFonts w:hint="eastAsia" w:ascii="仿宋" w:hAnsi="仿宋" w:eastAsia="仿宋"/>
          <w:bCs w:val="0"/>
        </w:rPr>
        <w:t>政拨款收入支出决算总表</w:t>
      </w:r>
      <w:r>
        <w:tab/>
      </w:r>
      <w:r>
        <w:fldChar w:fldCharType="begin"/>
      </w:r>
      <w:r>
        <w:instrText xml:space="preserve"> PAGEREF _Toc2863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_Toc26517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五、</w:t>
      </w:r>
      <w:r>
        <w:rPr>
          <w:rFonts w:hint="eastAsia" w:ascii="仿宋" w:hAnsi="仿宋" w:eastAsia="仿宋"/>
        </w:rPr>
        <w:t>财</w:t>
      </w:r>
      <w:r>
        <w:rPr>
          <w:rFonts w:hint="eastAsia" w:ascii="仿宋" w:hAnsi="仿宋" w:eastAsia="仿宋"/>
          <w:bCs w:val="0"/>
        </w:rPr>
        <w:t>政拨款支出决算明细表</w:t>
      </w:r>
      <w:r>
        <w:tab/>
      </w:r>
      <w:r>
        <w:fldChar w:fldCharType="begin"/>
      </w:r>
      <w:r>
        <w:instrText xml:space="preserve"> PAGEREF _Toc26517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_Toc4228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六、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般公共预算财政拨款支出决算表</w:t>
      </w:r>
      <w:r>
        <w:tab/>
      </w:r>
      <w:r>
        <w:fldChar w:fldCharType="begin"/>
      </w:r>
      <w:r>
        <w:instrText xml:space="preserve"> PAGEREF _Toc4228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_Toc14079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七、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般公共预算财政拨款支出决算明细表</w:t>
      </w:r>
      <w:r>
        <w:tab/>
      </w:r>
      <w:r>
        <w:fldChar w:fldCharType="begin"/>
      </w:r>
      <w:r>
        <w:instrText xml:space="preserve"> PAGEREF _Toc14079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_Toc3241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八、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般公共预算财政拨款基本支出决算表</w:t>
      </w:r>
      <w:r>
        <w:tab/>
      </w:r>
      <w:r>
        <w:fldChar w:fldCharType="begin"/>
      </w:r>
      <w:r>
        <w:instrText xml:space="preserve"> PAGEREF _Toc3241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_Toc27015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九、</w:t>
      </w:r>
      <w:r>
        <w:rPr>
          <w:rFonts w:hint="eastAsia" w:ascii="仿宋" w:hAnsi="仿宋" w:eastAsia="仿宋"/>
        </w:rPr>
        <w:t>一</w:t>
      </w:r>
      <w:r>
        <w:rPr>
          <w:rFonts w:hint="eastAsia" w:ascii="仿宋" w:hAnsi="仿宋" w:eastAsia="仿宋"/>
          <w:bCs w:val="0"/>
        </w:rPr>
        <w:t>般公共预算财政拨款项目支出决算表</w:t>
      </w:r>
      <w:r>
        <w:tab/>
      </w:r>
      <w:r>
        <w:fldChar w:fldCharType="begin"/>
      </w:r>
      <w:r>
        <w:instrText xml:space="preserve"> PAGEREF _Toc27015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_Toc19919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十、</w:t>
      </w:r>
      <w:r>
        <w:rPr>
          <w:rFonts w:hint="eastAsia" w:ascii="仿宋" w:hAnsi="仿宋" w:eastAsia="仿宋"/>
        </w:rPr>
        <w:t>政</w:t>
      </w:r>
      <w:r>
        <w:rPr>
          <w:rFonts w:hint="eastAsia" w:ascii="仿宋" w:hAnsi="仿宋" w:eastAsia="仿宋"/>
          <w:bCs w:val="0"/>
        </w:rPr>
        <w:t>府性基金预算财政拨款收入支出决算表</w:t>
      </w:r>
      <w:r>
        <w:tab/>
      </w:r>
      <w:r>
        <w:fldChar w:fldCharType="begin"/>
      </w:r>
      <w:r>
        <w:instrText xml:space="preserve"> PAGEREF _Toc19919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_Toc13059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十一、</w:t>
      </w:r>
      <w:r>
        <w:rPr>
          <w:rFonts w:hint="eastAsia" w:ascii="仿宋" w:hAnsi="仿宋" w:eastAsia="仿宋"/>
        </w:rPr>
        <w:t>国</w:t>
      </w:r>
      <w:r>
        <w:rPr>
          <w:rFonts w:hint="eastAsia" w:ascii="仿宋" w:hAnsi="仿宋" w:eastAsia="仿宋"/>
          <w:bCs w:val="0"/>
        </w:rPr>
        <w:t>有资本经营预算财政拨款收入支出决算表</w:t>
      </w:r>
      <w:r>
        <w:tab/>
      </w:r>
      <w:r>
        <w:fldChar w:fldCharType="begin"/>
      </w:r>
      <w:r>
        <w:instrText xml:space="preserve"> PAGEREF _Toc13059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_Toc1326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十二、国有资本经营预算财政拨款支出决算表</w:t>
      </w:r>
      <w:r>
        <w:tab/>
      </w:r>
      <w:r>
        <w:fldChar w:fldCharType="begin"/>
      </w:r>
      <w:r>
        <w:instrText xml:space="preserve"> PAGEREF _Toc1326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5"/>
        <w:tabs>
          <w:tab w:val="right" w:leader="dot" w:pos="8306"/>
          <w:tab w:val="clear" w:pos="8296"/>
        </w:tabs>
      </w:pPr>
      <w:r>
        <w:fldChar w:fldCharType="begin"/>
      </w:r>
      <w:r>
        <w:instrText xml:space="preserve"> HYPERLINK \l _Toc8580 </w:instrText>
      </w:r>
      <w:r>
        <w:fldChar w:fldCharType="separate"/>
      </w:r>
      <w:r>
        <w:rPr>
          <w:rFonts w:hint="eastAsia" w:ascii="仿宋" w:hAnsi="仿宋" w:eastAsia="仿宋"/>
          <w:bCs w:val="0"/>
        </w:rPr>
        <w:t>十三、财政拨款“三公”经费支出决算表</w:t>
      </w:r>
      <w:r>
        <w:tab/>
      </w:r>
      <w:r>
        <w:fldChar w:fldCharType="begin"/>
      </w:r>
      <w:r>
        <w:instrText xml:space="preserve"> PAGEREF _Toc8580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widowControl/>
        <w:spacing w:line="440" w:lineRule="exact"/>
        <w:jc w:val="left"/>
        <w:rPr>
          <w:rFonts w:ascii="仿宋" w:hAnsi="仿宋" w:eastAsia="仿宋"/>
          <w:bCs/>
          <w:kern w:val="44"/>
          <w:sz w:val="24"/>
        </w:rPr>
      </w:pPr>
      <w:r>
        <w:fldChar w:fldCharType="end"/>
      </w:r>
      <w:bookmarkStart w:id="14" w:name="_Toc15377196"/>
      <w:bookmarkStart w:id="15" w:name="_Toc15396599"/>
    </w:p>
    <w:p>
      <w:pPr>
        <w:pStyle w:val="6"/>
        <w:jc w:val="center"/>
        <w:rPr>
          <w:rStyle w:val="29"/>
          <w:rFonts w:ascii="黑体" w:hAnsi="黑体" w:eastAsia="黑体"/>
          <w:b/>
          <w:bCs w:val="0"/>
        </w:rPr>
      </w:pPr>
      <w:bookmarkStart w:id="16" w:name="_Toc15517"/>
      <w:r>
        <w:rPr>
          <w:rFonts w:hint="eastAsia" w:ascii="黑体" w:hAnsi="黑体" w:eastAsia="黑体"/>
          <w:b w:val="0"/>
        </w:rPr>
        <w:t>第一部分 单位</w:t>
      </w:r>
      <w:r>
        <w:rPr>
          <w:rStyle w:val="29"/>
          <w:rFonts w:hint="eastAsia" w:ascii="黑体" w:hAnsi="黑体" w:eastAsia="黑体"/>
          <w:b w:val="0"/>
          <w:bCs w:val="0"/>
        </w:rPr>
        <w:t>概况</w:t>
      </w:r>
      <w:bookmarkEnd w:id="14"/>
      <w:bookmarkEnd w:id="15"/>
      <w:bookmarkEnd w:id="16"/>
    </w:p>
    <w:p>
      <w:pPr>
        <w:widowControl/>
        <w:jc w:val="left"/>
        <w:rPr>
          <w:rFonts w:ascii="黑体" w:eastAsia="黑体"/>
          <w:sz w:val="32"/>
          <w:szCs w:val="32"/>
        </w:rPr>
      </w:pPr>
    </w:p>
    <w:p>
      <w:pPr>
        <w:pStyle w:val="7"/>
        <w:numPr>
          <w:ilvl w:val="0"/>
          <w:numId w:val="1"/>
        </w:numP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bookmarkStart w:id="17" w:name="_Toc15454"/>
      <w:bookmarkStart w:id="18" w:name="_Toc15396600"/>
      <w:bookmarkStart w:id="19" w:name="_Toc15377197"/>
      <w:r>
        <w:rPr>
          <w:rStyle w:val="30"/>
          <w:rFonts w:hint="eastAsia" w:ascii="黑体" w:hAnsi="黑体" w:eastAsia="黑体"/>
          <w:b w:val="0"/>
          <w:bCs w:val="0"/>
        </w:rPr>
        <w:t>主要职责</w:t>
      </w:r>
      <w:bookmarkEnd w:id="17"/>
    </w:p>
    <w:p>
      <w:pPr>
        <w:pStyle w:val="7"/>
        <w:numPr>
          <w:ilvl w:val="0"/>
          <w:numId w:val="0"/>
        </w:numPr>
        <w:ind w:firstLine="600" w:firstLineChars="20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剑阁县盐店镇西庙卫生院成立于1952年，位于剑阁县盐店镇西庙场新街251号。目前属国家一级乙等综合医院，为城乡居民医疗保险、城镇职工医疗保险、商业保险定点医院。</w:t>
      </w:r>
    </w:p>
    <w:p>
      <w:pPr>
        <w:pStyle w:val="7"/>
        <w:numPr>
          <w:ilvl w:val="0"/>
          <w:numId w:val="0"/>
        </w:numPr>
        <w:ind w:firstLine="600" w:firstLineChars="200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</w:pP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医院现有职工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20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名，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在编8人，编外12人；</w:t>
      </w:r>
      <w:r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执业医师2名，执业助理医师2名，执业护师2名。编制床位9张，开放床位9张。医院拥有国内先进的高档数字式十二通道心电图机、迈瑞B超、便携式B超（床旁）、全自动生化仪、全自动血细胞分析仪等医疗设备。</w:t>
      </w: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医院开设有内科、外科、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急诊门诊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、中医科、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预防接种科、中西结合科、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检验、等临床科室。能开展对临床常见病、多发病能给予积极准确的诊治，并对临床危重、急诊病人进行有效的抢救和治疗。</w:t>
      </w: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20" w:name="_Toc11324"/>
      <w:r>
        <w:rPr>
          <w:rStyle w:val="30"/>
          <w:rFonts w:hint="eastAsia" w:ascii="黑体" w:hAnsi="黑体" w:eastAsia="黑体"/>
          <w:b w:val="0"/>
          <w:bCs w:val="0"/>
          <w:lang w:val="en-US" w:eastAsia="zh-CN" w:bidi="ar-SA"/>
        </w:rPr>
        <w:t>二、2022年重点工作</w:t>
      </w:r>
      <w:bookmarkEnd w:id="20"/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（一）疫情防控：做好院内常态化疫情防控工作，“外防输入、内防反弹”，保证院内疫情防控物资充足，做好院内感染防控工作。</w:t>
      </w: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（二）医疗服务：我院按照现有医疗模式，24小时连续医疗服务，不断完善、规范、保障辖区百姓就医需求。</w:t>
      </w: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（三）公共卫生：做好2022年度居民健康档案、预防接种、健康教育、65岁以上老人及慢病患者的管理工作，完善乡村医生绩效考核制度等。</w:t>
      </w:r>
    </w:p>
    <w:p/>
    <w:p>
      <w:pPr>
        <w:pStyle w:val="7"/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bookmarkStart w:id="21" w:name="_Toc21940"/>
      <w:r>
        <w:rPr>
          <w:rFonts w:hint="eastAsia" w:ascii="黑体" w:hAnsi="黑体" w:eastAsia="黑体"/>
          <w:b w:val="0"/>
          <w:color w:val="000000" w:themeColor="text1"/>
          <w14:textFill>
            <w14:solidFill>
              <w14:schemeClr w14:val="tx1"/>
            </w14:solidFill>
          </w14:textFill>
        </w:rPr>
        <w:t>机构设置</w:t>
      </w:r>
      <w:bookmarkEnd w:id="21"/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剑阁县盐店镇西庙卫生院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下属二级单位，无纳入202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年度部门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lang w:eastAsia="zh-CN"/>
        </w:rPr>
        <w:t>预算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编制范围的二级预算单位。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医院开设有内科、外科、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急诊门诊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、中医科、</w:t>
      </w:r>
      <w:r>
        <w:rPr>
          <w:rFonts w:hint="eastAsia" w:ascii="宋体" w:hAnsi="宋体" w:cs="宋体"/>
          <w:i w:val="0"/>
          <w:iCs w:val="0"/>
          <w:caps w:val="0"/>
          <w:color w:val="000000"/>
          <w:spacing w:val="0"/>
          <w:sz w:val="30"/>
          <w:szCs w:val="30"/>
          <w:lang w:val="en-US" w:eastAsia="zh-CN"/>
        </w:rPr>
        <w:t>预防接种科、中西结合科、</w:t>
      </w:r>
      <w:r>
        <w:rPr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  <w:t>检验、等临床科室。</w:t>
      </w: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</w:rPr>
      </w:pPr>
    </w:p>
    <w:p>
      <w:pPr>
        <w:numPr>
          <w:ilvl w:val="0"/>
          <w:numId w:val="0"/>
        </w:numPr>
        <w:ind w:leftChars="0"/>
      </w:pPr>
    </w:p>
    <w:bookmarkEnd w:id="18"/>
    <w:bookmarkEnd w:id="19"/>
    <w:p>
      <w:pPr>
        <w:widowControl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pStyle w:val="6"/>
        <w:ind w:right="440"/>
        <w:jc w:val="center"/>
        <w:rPr>
          <w:rStyle w:val="29"/>
          <w:rFonts w:ascii="黑体" w:hAnsi="黑体" w:eastAsia="黑体"/>
          <w:b w:val="0"/>
          <w:bCs/>
        </w:rPr>
      </w:pPr>
      <w:bookmarkStart w:id="22" w:name="_Toc15377204"/>
      <w:bookmarkStart w:id="23" w:name="_Toc15396602"/>
      <w:bookmarkStart w:id="24" w:name="_Toc23234"/>
      <w:r>
        <w:rPr>
          <w:rFonts w:hint="eastAsia" w:ascii="黑体" w:hAnsi="黑体" w:eastAsia="黑体"/>
          <w:b w:val="0"/>
        </w:rPr>
        <w:t>第二部分 2022年度</w:t>
      </w:r>
      <w:r>
        <w:rPr>
          <w:rStyle w:val="29"/>
          <w:rFonts w:hint="eastAsia" w:ascii="黑体" w:hAnsi="黑体" w:eastAsia="黑体"/>
          <w:b w:val="0"/>
          <w:bCs/>
        </w:rPr>
        <w:t>单位决算情况说明</w:t>
      </w:r>
      <w:bookmarkEnd w:id="22"/>
      <w:bookmarkEnd w:id="23"/>
      <w:bookmarkEnd w:id="24"/>
    </w:p>
    <w:p/>
    <w:p>
      <w:pPr>
        <w:pStyle w:val="28"/>
        <w:numPr>
          <w:ilvl w:val="0"/>
          <w:numId w:val="2"/>
        </w:numPr>
        <w:spacing w:line="600" w:lineRule="exact"/>
        <w:ind w:firstLineChars="0"/>
        <w:outlineLvl w:val="1"/>
        <w:rPr>
          <w:rStyle w:val="30"/>
          <w:rFonts w:ascii="黑体" w:hAnsi="黑体" w:eastAsia="黑体"/>
          <w:b w:val="0"/>
        </w:rPr>
      </w:pPr>
      <w:bookmarkStart w:id="25" w:name="_Toc15377205"/>
      <w:bookmarkStart w:id="26" w:name="_Toc16680"/>
      <w:bookmarkStart w:id="27" w:name="_Toc15396603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30"/>
          <w:rFonts w:hint="eastAsia" w:ascii="黑体" w:hAnsi="黑体" w:eastAsia="黑体"/>
          <w:b w:val="0"/>
        </w:rPr>
        <w:t>入支出决算总体情况说明</w:t>
      </w:r>
      <w:bookmarkEnd w:id="25"/>
      <w:bookmarkEnd w:id="26"/>
      <w:bookmarkEnd w:id="27"/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rFonts w:hint="eastAsia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2022年度收、支总计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267.9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pStyle w:val="28"/>
        <w:numPr>
          <w:ilvl w:val="0"/>
          <w:numId w:val="2"/>
        </w:numPr>
        <w:tabs>
          <w:tab w:val="left" w:pos="634"/>
        </w:tabs>
        <w:spacing w:line="600" w:lineRule="exact"/>
        <w:ind w:firstLineChars="0"/>
        <w:outlineLvl w:val="1"/>
        <w:rPr>
          <w:rStyle w:val="30"/>
          <w:rFonts w:ascii="黑体" w:hAnsi="黑体" w:eastAsia="黑体"/>
          <w:b w:val="0"/>
        </w:rPr>
      </w:pPr>
      <w:bookmarkStart w:id="28" w:name="_Toc32633"/>
      <w:bookmarkStart w:id="29" w:name="_Toc15377206"/>
      <w:bookmarkStart w:id="30" w:name="_Toc15396604"/>
      <w:r>
        <w:rPr>
          <w:rFonts w:hint="eastAsia" w:ascii="黑体" w:hAnsi="黑体" w:eastAsia="黑体"/>
          <w:sz w:val="32"/>
          <w:szCs w:val="32"/>
        </w:rPr>
        <w:t>收</w:t>
      </w:r>
      <w:r>
        <w:rPr>
          <w:rStyle w:val="30"/>
          <w:rFonts w:hint="eastAsia" w:ascii="黑体" w:hAnsi="黑体" w:eastAsia="黑体"/>
          <w:b w:val="0"/>
        </w:rPr>
        <w:t>入决算情况说明</w:t>
      </w:r>
      <w:bookmarkEnd w:id="28"/>
      <w:bookmarkEnd w:id="29"/>
      <w:bookmarkEnd w:id="30"/>
    </w:p>
    <w:p>
      <w:pPr>
        <w:spacing w:line="600" w:lineRule="exact"/>
        <w:ind w:firstLine="640" w:firstLineChars="200"/>
        <w:outlineLvl w:val="1"/>
        <w:rPr>
          <w:rFonts w:ascii="仿宋" w:hAnsi="仿宋" w:eastAsia="仿宋"/>
          <w:sz w:val="32"/>
          <w:szCs w:val="32"/>
        </w:rPr>
      </w:pPr>
      <w:bookmarkStart w:id="31" w:name="_Toc14697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267.9</w:t>
      </w:r>
      <w:r>
        <w:rPr>
          <w:rFonts w:hint="eastAsia" w:ascii="仿宋" w:hAnsi="仿宋" w:eastAsia="仿宋"/>
          <w:sz w:val="32"/>
          <w:szCs w:val="32"/>
        </w:rPr>
        <w:t>万元，其中：一般公共预算财政拨款收入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106.73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；事业收入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157.6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59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；其他收入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3.57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bookmarkEnd w:id="31"/>
    </w:p>
    <w:p>
      <w:pPr>
        <w:spacing w:line="600" w:lineRule="exact"/>
        <w:ind w:firstLine="420" w:firstLineChars="200"/>
      </w:pPr>
    </w:p>
    <w:p>
      <w:pPr>
        <w:pStyle w:val="2"/>
      </w:pPr>
    </w:p>
    <w:p>
      <w:pPr>
        <w:pStyle w:val="4"/>
        <w:ind w:left="0" w:leftChars="0" w:firstLine="0" w:firstLineChars="0"/>
      </w:pP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4222750" cy="2844800"/>
            <wp:effectExtent l="4445" t="5080" r="14605" b="7620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4"/>
      </w:pPr>
    </w:p>
    <w:p>
      <w:pPr>
        <w:pStyle w:val="28"/>
        <w:numPr>
          <w:ilvl w:val="0"/>
          <w:numId w:val="2"/>
        </w:numPr>
        <w:spacing w:line="600" w:lineRule="exact"/>
        <w:ind w:firstLineChars="0"/>
        <w:outlineLvl w:val="1"/>
        <w:rPr>
          <w:rStyle w:val="30"/>
          <w:rFonts w:ascii="黑体" w:hAnsi="黑体" w:eastAsia="黑体"/>
          <w:b w:val="0"/>
        </w:rPr>
      </w:pPr>
      <w:bookmarkStart w:id="32" w:name="_Toc15396605"/>
      <w:bookmarkStart w:id="33" w:name="_Toc15377207"/>
      <w:bookmarkStart w:id="34" w:name="_Toc4250"/>
      <w:r>
        <w:rPr>
          <w:rFonts w:hint="eastAsia" w:ascii="黑体" w:hAnsi="黑体" w:eastAsia="黑体"/>
          <w:sz w:val="32"/>
          <w:szCs w:val="32"/>
        </w:rPr>
        <w:t>支</w:t>
      </w:r>
      <w:r>
        <w:rPr>
          <w:rStyle w:val="30"/>
          <w:rFonts w:hint="eastAsia" w:ascii="黑体" w:hAnsi="黑体" w:eastAsia="黑体"/>
          <w:b w:val="0"/>
        </w:rPr>
        <w:t>出决算情况说明</w:t>
      </w:r>
      <w:bookmarkEnd w:id="32"/>
      <w:bookmarkEnd w:id="33"/>
      <w:bookmarkEnd w:id="34"/>
    </w:p>
    <w:p>
      <w:pPr>
        <w:spacing w:line="600" w:lineRule="exact"/>
        <w:ind w:firstLine="640" w:firstLineChars="200"/>
        <w:outlineLvl w:val="1"/>
        <w:rPr>
          <w:rFonts w:hint="eastAsia" w:ascii="仿宋" w:hAnsi="仿宋" w:eastAsia="仿宋"/>
          <w:sz w:val="32"/>
          <w:szCs w:val="32"/>
          <w:lang w:eastAsia="zh-CN"/>
        </w:rPr>
      </w:pPr>
      <w:bookmarkStart w:id="35" w:name="_Toc4343"/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22年本年支出合计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267.9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267.9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bookmarkEnd w:id="35"/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600" w:lineRule="exact"/>
        <w:ind w:firstLine="2644" w:firstLineChars="1202"/>
        <w:jc w:val="left"/>
        <w:rPr>
          <w:rFonts w:ascii="仿宋" w:hAnsi="仿宋" w:eastAsia="仿宋"/>
          <w:sz w:val="32"/>
          <w:szCs w:val="32"/>
          <w:shd w:val="pct10" w:color="auto" w:fill="FFFFFF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图3：支出决算结构图</w:t>
      </w:r>
    </w:p>
    <w:p>
      <w:pPr>
        <w:spacing w:line="600" w:lineRule="exact"/>
        <w:ind w:firstLine="420" w:firstLineChars="200"/>
        <w:rPr>
          <w:rFonts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7620</wp:posOffset>
            </wp:positionV>
            <wp:extent cx="4171950" cy="2844800"/>
            <wp:effectExtent l="4445" t="4445" r="14605" b="8255"/>
            <wp:wrapSquare wrapText="bothSides"/>
            <wp:docPr id="4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spacing w:line="60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  <w:bookmarkStart w:id="36" w:name="_Toc15396606"/>
      <w:bookmarkStart w:id="37" w:name="_Toc15377208"/>
    </w:p>
    <w:p>
      <w:pPr>
        <w:spacing w:line="60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outlineLvl w:val="1"/>
        <w:rPr>
          <w:rStyle w:val="30"/>
          <w:rFonts w:ascii="黑体" w:hAnsi="黑体" w:eastAsia="黑体"/>
          <w:b w:val="0"/>
        </w:rPr>
      </w:pPr>
      <w:bookmarkStart w:id="38" w:name="_Toc32582"/>
      <w:r>
        <w:rPr>
          <w:rFonts w:hint="eastAsia" w:ascii="黑体" w:hAnsi="黑体" w:eastAsia="黑体"/>
          <w:sz w:val="32"/>
          <w:szCs w:val="32"/>
        </w:rPr>
        <w:t>四、财</w:t>
      </w:r>
      <w:r>
        <w:rPr>
          <w:rStyle w:val="30"/>
          <w:rFonts w:hint="eastAsia" w:ascii="黑体" w:hAnsi="黑体" w:eastAsia="黑体"/>
          <w:b w:val="0"/>
        </w:rPr>
        <w:t>政拨款收入支出决算总体情况说明</w:t>
      </w:r>
      <w:bookmarkEnd w:id="36"/>
      <w:bookmarkEnd w:id="37"/>
      <w:bookmarkEnd w:id="38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22年财政拨款收、支总计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267.9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spacing w:line="600" w:lineRule="exact"/>
        <w:ind w:firstLine="960" w:firstLineChars="300"/>
        <w:outlineLvl w:val="1"/>
        <w:rPr>
          <w:rStyle w:val="30"/>
          <w:rFonts w:ascii="黑体" w:hAnsi="黑体" w:eastAsia="黑体"/>
          <w:b w:val="0"/>
        </w:rPr>
      </w:pPr>
      <w:bookmarkStart w:id="39" w:name="_Toc15396607"/>
      <w:bookmarkStart w:id="40" w:name="_Toc15377209"/>
      <w:bookmarkStart w:id="41" w:name="_Toc30849"/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b/>
          <w:sz w:val="32"/>
          <w:szCs w:val="32"/>
        </w:rPr>
        <w:t>一</w:t>
      </w:r>
      <w:r>
        <w:rPr>
          <w:rStyle w:val="30"/>
          <w:rFonts w:hint="eastAsia" w:ascii="黑体" w:hAnsi="黑体" w:eastAsia="黑体"/>
          <w:b w:val="0"/>
        </w:rPr>
        <w:t>般公共预算财政拨款支出决算情况说明</w:t>
      </w:r>
      <w:bookmarkEnd w:id="39"/>
      <w:bookmarkEnd w:id="40"/>
      <w:bookmarkEnd w:id="41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b/>
          <w:sz w:val="32"/>
          <w:szCs w:val="32"/>
        </w:rPr>
      </w:pPr>
      <w:bookmarkStart w:id="42" w:name="_Toc22283"/>
      <w:bookmarkStart w:id="43" w:name="_Toc15377210"/>
      <w:r>
        <w:rPr>
          <w:rFonts w:hint="eastAsia" w:ascii="仿宋" w:hAnsi="仿宋" w:eastAsia="仿宋"/>
          <w:b/>
          <w:sz w:val="32"/>
          <w:szCs w:val="32"/>
        </w:rPr>
        <w:t>（一）一般公共预算财政拨款支出决算总体情况</w:t>
      </w:r>
      <w:bookmarkEnd w:id="42"/>
      <w:bookmarkEnd w:id="43"/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106.73</w:t>
      </w:r>
      <w:r>
        <w:rPr>
          <w:rFonts w:hint="eastAsia" w:ascii="仿宋" w:hAnsi="仿宋" w:eastAsia="仿宋"/>
          <w:sz w:val="32"/>
          <w:szCs w:val="32"/>
        </w:rPr>
        <w:t>万元，占本年支出合计的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spacing w:line="600" w:lineRule="exact"/>
        <w:outlineLvl w:val="2"/>
        <w:rPr>
          <w:rFonts w:ascii="仿宋" w:hAnsi="仿宋" w:eastAsia="仿宋"/>
          <w:b/>
          <w:sz w:val="32"/>
          <w:szCs w:val="32"/>
        </w:rPr>
      </w:pPr>
      <w:bookmarkStart w:id="44" w:name="_Toc15377211"/>
      <w:bookmarkStart w:id="45" w:name="_Toc28724"/>
      <w:r>
        <w:rPr>
          <w:rFonts w:hint="eastAsia" w:ascii="仿宋" w:hAnsi="仿宋" w:eastAsia="仿宋"/>
          <w:b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sz w:val="32"/>
          <w:szCs w:val="32"/>
        </w:rPr>
        <w:t>二）一般公共预算财政拨款支出决算结构情况</w:t>
      </w:r>
      <w:bookmarkEnd w:id="44"/>
      <w:bookmarkEnd w:id="45"/>
    </w:p>
    <w:p>
      <w:pPr>
        <w:spacing w:line="600" w:lineRule="exact"/>
        <w:ind w:firstLine="64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106.73</w:t>
      </w:r>
      <w:r>
        <w:rPr>
          <w:rFonts w:hint="eastAsia" w:ascii="仿宋" w:hAnsi="仿宋" w:eastAsia="仿宋"/>
          <w:sz w:val="32"/>
          <w:szCs w:val="32"/>
        </w:rPr>
        <w:t>万元，主要用于以下方面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b/>
          <w:sz w:val="32"/>
          <w:szCs w:val="32"/>
        </w:rPr>
        <w:t>社会保障和就业</w:t>
      </w:r>
      <w:r>
        <w:rPr>
          <w:rFonts w:hint="eastAsia" w:ascii="仿宋" w:hAnsi="仿宋" w:eastAsia="仿宋"/>
          <w:b/>
          <w:bCs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7.36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卫生健康支出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96.31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</w:t>
      </w:r>
      <w:r>
        <w:rPr>
          <w:rFonts w:hint="eastAsia" w:ascii="仿宋" w:hAnsi="仿宋" w:eastAsia="仿宋"/>
          <w:b/>
          <w:bCs/>
          <w:sz w:val="32"/>
          <w:szCs w:val="32"/>
        </w:rPr>
        <w:t>住房保障支出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3.06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图六：一般公共预算财政拨款支出决算结构图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21" w:firstLineChars="100"/>
        <w:outlineLvl w:val="2"/>
        <w:rPr>
          <w:rFonts w:hint="eastAsia" w:ascii="仿宋" w:hAnsi="仿宋" w:eastAsia="仿宋"/>
          <w:b/>
          <w:sz w:val="32"/>
          <w:szCs w:val="32"/>
        </w:rPr>
      </w:pPr>
      <w:bookmarkStart w:id="46" w:name="_Toc15377212"/>
    </w:p>
    <w:p>
      <w:pPr>
        <w:spacing w:line="600" w:lineRule="exact"/>
        <w:ind w:firstLine="321" w:firstLineChars="100"/>
        <w:outlineLvl w:val="2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321" w:firstLineChars="100"/>
        <w:outlineLvl w:val="2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321" w:firstLineChars="100"/>
        <w:outlineLvl w:val="2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321" w:firstLineChars="100"/>
        <w:outlineLvl w:val="2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321" w:firstLineChars="100"/>
        <w:outlineLvl w:val="2"/>
        <w:rPr>
          <w:rFonts w:hint="eastAsia" w:ascii="仿宋" w:hAnsi="仿宋" w:eastAsia="仿宋"/>
          <w:b/>
          <w:sz w:val="32"/>
          <w:szCs w:val="32"/>
        </w:rPr>
      </w:pPr>
    </w:p>
    <w:p>
      <w:pPr>
        <w:spacing w:line="600" w:lineRule="exact"/>
        <w:ind w:firstLine="210" w:firstLineChars="100"/>
        <w:outlineLvl w:val="2"/>
        <w:rPr>
          <w:rFonts w:hint="eastAsia" w:ascii="仿宋" w:hAnsi="仿宋" w:eastAsia="仿宋"/>
          <w:b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-2548255</wp:posOffset>
            </wp:positionV>
            <wp:extent cx="4171950" cy="2844800"/>
            <wp:effectExtent l="4445" t="4445" r="14605" b="8255"/>
            <wp:wrapSquare wrapText="bothSides"/>
            <wp:docPr id="7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>
      <w:pPr>
        <w:spacing w:line="600" w:lineRule="exact"/>
        <w:ind w:firstLine="321" w:firstLineChars="100"/>
        <w:outlineLvl w:val="2"/>
        <w:rPr>
          <w:rFonts w:ascii="仿宋" w:hAnsi="仿宋" w:eastAsia="仿宋"/>
          <w:b/>
          <w:sz w:val="32"/>
          <w:szCs w:val="32"/>
        </w:rPr>
      </w:pPr>
      <w:bookmarkStart w:id="47" w:name="_Toc4152"/>
      <w:r>
        <w:rPr>
          <w:rFonts w:hint="eastAsia" w:ascii="仿宋" w:hAnsi="仿宋" w:eastAsia="仿宋"/>
          <w:b/>
          <w:sz w:val="32"/>
          <w:szCs w:val="32"/>
        </w:rPr>
        <w:t>（三）一般公共预算财政拨款支出决算具体情况</w:t>
      </w:r>
      <w:bookmarkEnd w:id="46"/>
      <w:bookmarkEnd w:id="47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48" w:name="_Toc15377444"/>
      <w:bookmarkStart w:id="49" w:name="_Toc15377213"/>
      <w:bookmarkStart w:id="50" w:name="_Toc15378460"/>
      <w:bookmarkStart w:id="51" w:name="_Toc8714"/>
      <w:r>
        <w:rPr>
          <w:rFonts w:hint="eastAsia" w:ascii="仿宋" w:hAnsi="仿宋" w:eastAsia="仿宋"/>
          <w:b/>
          <w:sz w:val="32"/>
          <w:szCs w:val="32"/>
        </w:rPr>
        <w:t>2022年一般公共预算支出决算数为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106.73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完成预算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100</w:t>
      </w:r>
      <w:r>
        <w:rPr>
          <w:rStyle w:val="19"/>
          <w:rFonts w:ascii="仿宋" w:hAnsi="仿宋" w:eastAsia="仿宋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。其中：</w:t>
      </w:r>
      <w:bookmarkEnd w:id="48"/>
      <w:bookmarkEnd w:id="49"/>
      <w:bookmarkEnd w:id="50"/>
      <w:bookmarkEnd w:id="51"/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1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社会保障和就业支出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(类)：行政事业单位养老支出(款)：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机关事业单位基本养老保险缴费支出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(项)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 xml:space="preserve"> 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支出决算为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7.36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万元，完成预算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Style w:val="19"/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</w:pP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2</w:t>
      </w:r>
      <w:r>
        <w:rPr>
          <w:rStyle w:val="19"/>
          <w:rFonts w:ascii="仿宋" w:hAnsi="仿宋" w:eastAsia="仿宋"/>
          <w:bCs/>
          <w:sz w:val="32"/>
          <w:szCs w:val="32"/>
        </w:rPr>
        <w:t>.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卫生健康支出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(类)：基层医疗卫生机构(款)：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乡镇卫生院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(项)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支出决算数为65.75万元，</w:t>
      </w:r>
      <w:r>
        <w:rPr>
          <w:rStyle w:val="19"/>
          <w:rFonts w:hint="eastAsia" w:ascii="仿宋" w:hAnsi="仿宋" w:eastAsia="仿宋" w:cs="Times New Roman"/>
          <w:b w:val="0"/>
          <w:bCs/>
          <w:sz w:val="32"/>
          <w:szCs w:val="32"/>
        </w:rPr>
        <w:t>完成预算</w:t>
      </w:r>
      <w:r>
        <w:rPr>
          <w:rStyle w:val="19"/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100</w:t>
      </w:r>
      <w:r>
        <w:rPr>
          <w:rStyle w:val="19"/>
          <w:rFonts w:hint="eastAsia" w:ascii="仿宋" w:hAnsi="仿宋" w:eastAsia="仿宋" w:cs="Times New Roman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 w:cs="Times New Roman"/>
          <w:b w:val="0"/>
          <w:bCs/>
          <w:sz w:val="32"/>
          <w:szCs w:val="32"/>
          <w:lang w:eastAsia="zh-CN"/>
        </w:rPr>
        <w:t>。</w:t>
      </w:r>
    </w:p>
    <w:p>
      <w:pPr>
        <w:pStyle w:val="2"/>
        <w:ind w:left="0" w:leftChars="0" w:firstLine="640" w:firstLineChars="200"/>
        <w:rPr>
          <w:rStyle w:val="19"/>
          <w:rFonts w:hint="default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3. 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卫生健康支出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(类)：基层医疗卫生机构(款)：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其他基层医疗卫生机构支出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(项)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支出决算数为5.60万元，完成预算100%。</w:t>
      </w:r>
    </w:p>
    <w:p>
      <w:pPr>
        <w:pStyle w:val="2"/>
        <w:ind w:left="0" w:leftChars="0" w:firstLine="640" w:firstLineChars="200"/>
        <w:rPr>
          <w:rFonts w:hint="default"/>
          <w:lang w:val="en-US" w:eastAsia="zh-CN"/>
        </w:rPr>
      </w:pP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4.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卫生健康支出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(类)：公共卫生(款)：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基本公共卫生服务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(项)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支出决算为21.28万元，完成预算100%。</w:t>
      </w:r>
    </w:p>
    <w:p>
      <w:pPr>
        <w:spacing w:line="600" w:lineRule="exact"/>
        <w:ind w:firstLine="643" w:firstLineChars="200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5.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卫生健康支出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(类)：行政事业单位医疗(款)：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事业单位医疗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(项)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Style w:val="19"/>
          <w:rFonts w:hint="eastAsia" w:ascii="仿宋" w:hAnsi="仿宋" w:eastAsia="仿宋" w:cs="Times New Roman"/>
          <w:b w:val="0"/>
          <w:bCs/>
          <w:sz w:val="32"/>
          <w:szCs w:val="32"/>
          <w:lang w:val="en-US" w:eastAsia="zh-CN"/>
        </w:rPr>
        <w:t>支出决算数：3.68万元，完成预算100%。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6.住房保障支出（类）住房改革支出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(款)：</w:t>
      </w:r>
      <w:r>
        <w:rPr>
          <w:rStyle w:val="19"/>
          <w:rFonts w:hint="eastAsia" w:ascii="仿宋" w:hAnsi="仿宋" w:eastAsia="仿宋"/>
          <w:bCs/>
          <w:sz w:val="32"/>
          <w:szCs w:val="32"/>
        </w:rPr>
        <w:t>住房公积金</w:t>
      </w:r>
      <w:r>
        <w:rPr>
          <w:rStyle w:val="19"/>
          <w:rFonts w:hint="eastAsia" w:ascii="仿宋" w:hAnsi="仿宋" w:eastAsia="仿宋"/>
          <w:bCs/>
          <w:sz w:val="32"/>
          <w:szCs w:val="32"/>
          <w:lang w:val="en-US" w:eastAsia="zh-CN"/>
        </w:rPr>
        <w:t>(项)</w:t>
      </w:r>
      <w:r>
        <w:rPr>
          <w:rStyle w:val="19"/>
          <w:rFonts w:ascii="仿宋" w:hAnsi="仿宋" w:eastAsia="仿宋"/>
          <w:bCs/>
          <w:sz w:val="32"/>
          <w:szCs w:val="32"/>
        </w:rPr>
        <w:t>: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支出决算为：3.06万元，完成预算100%。</w:t>
      </w:r>
    </w:p>
    <w:p>
      <w:pPr>
        <w:tabs>
          <w:tab w:val="right" w:pos="8306"/>
        </w:tabs>
        <w:spacing w:line="600" w:lineRule="exact"/>
        <w:ind w:firstLine="640"/>
        <w:outlineLvl w:val="1"/>
        <w:rPr>
          <w:rStyle w:val="30"/>
        </w:rPr>
      </w:pPr>
      <w:bookmarkStart w:id="52" w:name="_Toc24886"/>
      <w:bookmarkStart w:id="53" w:name="_Toc15396608"/>
      <w:bookmarkStart w:id="54" w:name="_Toc15377214"/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Style w:val="30"/>
          <w:rFonts w:hint="eastAsia" w:ascii="黑体" w:hAnsi="黑体" w:eastAsia="黑体"/>
          <w:b w:val="0"/>
          <w:color w:val="000000" w:themeColor="text1"/>
          <w14:textFill>
            <w14:solidFill>
              <w14:schemeClr w14:val="tx1"/>
            </w14:solidFill>
          </w14:textFill>
        </w:rPr>
        <w:t>般公共预算财政拨款基本支出决算情况说明</w:t>
      </w:r>
      <w:bookmarkEnd w:id="52"/>
      <w:bookmarkEnd w:id="53"/>
      <w:bookmarkEnd w:id="54"/>
      <w:r>
        <w:rPr>
          <w:rStyle w:val="30"/>
          <w:rFonts w:ascii="黑体" w:hAnsi="黑体" w:eastAsia="黑体"/>
          <w:b w:val="0"/>
          <w:color w:val="FFC000"/>
        </w:rPr>
        <w:tab/>
      </w:r>
    </w:p>
    <w:p>
      <w:pPr>
        <w:spacing w:line="60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22年一般公共预算财政拨款基本支出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106.73</w:t>
      </w:r>
      <w:r>
        <w:rPr>
          <w:rFonts w:hint="eastAsia" w:ascii="仿宋" w:hAnsi="仿宋" w:eastAsia="仿宋"/>
          <w:sz w:val="32"/>
          <w:szCs w:val="32"/>
        </w:rPr>
        <w:t>万元，其中：</w:t>
      </w:r>
    </w:p>
    <w:p>
      <w:pPr>
        <w:spacing w:line="600" w:lineRule="exact"/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90.65万元。</w:t>
      </w:r>
      <w:r>
        <w:rPr>
          <w:rFonts w:hint="eastAsia" w:ascii="仿宋" w:hAnsi="仿宋" w:eastAsia="仿宋"/>
          <w:sz w:val="32"/>
          <w:szCs w:val="32"/>
        </w:rPr>
        <w:t>主要包括：基本工资、津贴补贴、绩效工资、机关事业单位基本养老保险缴费、其他社会保障缴费、其他工资福利支出、生活补助、住房公积金、其他对个人和家庭的补助支出等。</w:t>
      </w:r>
    </w:p>
    <w:p>
      <w:pPr>
        <w:spacing w:line="600" w:lineRule="exact"/>
        <w:ind w:firstLine="645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16.09万元。</w:t>
      </w:r>
      <w:r>
        <w:rPr>
          <w:rFonts w:hint="eastAsia" w:ascii="仿宋" w:hAnsi="仿宋" w:eastAsia="仿宋"/>
          <w:sz w:val="32"/>
          <w:szCs w:val="32"/>
        </w:rPr>
        <w:t>主要包括：办公费、印刷费、水费、电费、邮电费、差旅费、培训费、公务接待费、福利费、其他交通费、其他商品和服务支出。</w:t>
      </w:r>
    </w:p>
    <w:p>
      <w:pPr>
        <w:spacing w:line="600" w:lineRule="exact"/>
        <w:ind w:firstLine="640"/>
        <w:outlineLvl w:val="1"/>
        <w:rPr>
          <w:rStyle w:val="30"/>
          <w:rFonts w:ascii="黑体" w:hAnsi="黑体" w:eastAsia="黑体"/>
          <w:b w:val="0"/>
        </w:rPr>
      </w:pPr>
      <w:bookmarkStart w:id="55" w:name="_Toc11898"/>
      <w:bookmarkStart w:id="56" w:name="_Toc15396609"/>
      <w:bookmarkStart w:id="57" w:name="_Toc15377215"/>
      <w:r>
        <w:rPr>
          <w:rFonts w:hint="eastAsia" w:ascii="黑体" w:eastAsia="黑体"/>
          <w:sz w:val="32"/>
          <w:szCs w:val="32"/>
        </w:rPr>
        <w:t>七、</w:t>
      </w:r>
      <w:r>
        <w:rPr>
          <w:rStyle w:val="30"/>
          <w:rFonts w:hint="eastAsia" w:ascii="黑体" w:hAnsi="黑体" w:eastAsia="黑体"/>
          <w:b w:val="0"/>
        </w:rPr>
        <w:t>财政拨款</w:t>
      </w:r>
      <w:r>
        <w:rPr>
          <w:rStyle w:val="30"/>
          <w:rFonts w:hint="eastAsia" w:ascii="黑体" w:hAnsi="黑体" w:eastAsia="黑体"/>
        </w:rPr>
        <w:t>“</w:t>
      </w:r>
      <w:r>
        <w:rPr>
          <w:rStyle w:val="30"/>
          <w:rFonts w:hint="eastAsia" w:ascii="黑体" w:hAnsi="黑体" w:eastAsia="黑体"/>
          <w:b w:val="0"/>
        </w:rPr>
        <w:t>三公”经费支出决算情况说明</w:t>
      </w:r>
      <w:bookmarkEnd w:id="55"/>
      <w:bookmarkEnd w:id="56"/>
      <w:bookmarkEnd w:id="57"/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58" w:name="_Toc11332"/>
      <w:bookmarkStart w:id="59" w:name="_Toc15377216"/>
      <w:r>
        <w:rPr>
          <w:rFonts w:hint="eastAsia" w:ascii="仿宋" w:hAnsi="仿宋" w:eastAsia="仿宋"/>
          <w:b/>
          <w:sz w:val="32"/>
          <w:szCs w:val="32"/>
        </w:rPr>
        <w:t>（一）“三公”经费财政拨款支出决算总体情况说明</w:t>
      </w:r>
      <w:bookmarkEnd w:id="58"/>
      <w:bookmarkEnd w:id="59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0.14</w:t>
      </w:r>
      <w:r>
        <w:rPr>
          <w:rFonts w:hint="eastAsia" w:ascii="仿宋" w:hAnsi="仿宋" w:eastAsia="仿宋"/>
          <w:sz w:val="32"/>
          <w:szCs w:val="32"/>
        </w:rPr>
        <w:t>万元，完成预算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2021年本单位未单独填报决算，由系统统一填报部门决算，故无法对比。</w:t>
      </w:r>
    </w:p>
    <w:p>
      <w:pPr>
        <w:spacing w:line="600" w:lineRule="exact"/>
        <w:ind w:firstLine="640"/>
        <w:outlineLvl w:val="2"/>
        <w:rPr>
          <w:rFonts w:ascii="仿宋" w:hAnsi="仿宋" w:eastAsia="仿宋"/>
          <w:b/>
          <w:sz w:val="32"/>
          <w:szCs w:val="32"/>
        </w:rPr>
      </w:pPr>
      <w:bookmarkStart w:id="60" w:name="_Toc15377217"/>
      <w:bookmarkStart w:id="61" w:name="_Toc12373"/>
      <w:r>
        <w:rPr>
          <w:rFonts w:hint="eastAsia" w:ascii="仿宋" w:hAnsi="仿宋" w:eastAsia="仿宋"/>
          <w:b/>
          <w:sz w:val="32"/>
          <w:szCs w:val="32"/>
        </w:rPr>
        <w:t>（二）“三公”经费财政拨款支出决算具体情况说明</w:t>
      </w:r>
      <w:bookmarkEnd w:id="60"/>
      <w:bookmarkEnd w:id="61"/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22年“三公”经费财政拨款支出决算中，因公出国（境）费支出决算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；公务用车购置及运行维护费支出决算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；公务接待费支出决算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0.14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。具体情况如下：</w:t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273050</wp:posOffset>
            </wp:positionV>
            <wp:extent cx="4447540" cy="2790825"/>
            <wp:effectExtent l="4445" t="4445" r="5715" b="11430"/>
            <wp:wrapSquare wrapText="bothSides"/>
            <wp:docPr id="8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0"/>
        <w:rPr>
          <w:rFonts w:ascii="仿宋_GB2312" w:eastAsia="仿宋_GB2312"/>
          <w:b/>
          <w:sz w:val="32"/>
          <w:szCs w:val="32"/>
        </w:rPr>
      </w:pPr>
    </w:p>
    <w:p>
      <w:pPr>
        <w:pStyle w:val="10"/>
        <w:numPr>
          <w:ilvl w:val="0"/>
          <w:numId w:val="0"/>
        </w:numPr>
        <w:ind w:firstLine="643" w:firstLineChars="200"/>
        <w:rPr>
          <w:rFonts w:hint="default" w:ascii="仿宋_GB2312" w:hAnsi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ascii="仿宋_GB2312" w:eastAsia="仿宋_GB2312"/>
          <w:b/>
          <w:sz w:val="32"/>
          <w:szCs w:val="32"/>
        </w:rPr>
        <w:t>1</w:t>
      </w:r>
      <w:r>
        <w:rPr>
          <w:rFonts w:ascii="仿宋_GB2312" w:eastAsia="仿宋_GB2312"/>
          <w:b/>
          <w:bCs w:val="0"/>
          <w:sz w:val="32"/>
          <w:szCs w:val="32"/>
        </w:rPr>
        <w:t>.</w:t>
      </w:r>
      <w:r>
        <w:rPr>
          <w:rFonts w:hint="default" w:ascii="仿宋_GB2312" w:hAnsi="仿宋_GB2312" w:cs="仿宋_GB2312"/>
          <w:b/>
          <w:bCs w:val="0"/>
          <w:sz w:val="32"/>
          <w:szCs w:val="32"/>
          <w:lang w:val="en-US" w:eastAsia="zh-CN"/>
        </w:rPr>
        <w:t>因公出国（境）经费</w:t>
      </w:r>
      <w:r>
        <w:rPr>
          <w:rFonts w:hint="default" w:ascii="仿宋_GB2312" w:hAnsi="仿宋_GB2312" w:cs="仿宋_GB2312"/>
          <w:b w:val="0"/>
          <w:bCs/>
          <w:sz w:val="32"/>
          <w:szCs w:val="32"/>
          <w:lang w:val="en-US" w:eastAsia="zh-CN"/>
        </w:rPr>
        <w:t>暂未编入年初部门预算，执行中，县财政根据各单位上报的202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cs="仿宋_GB2312"/>
          <w:b w:val="0"/>
          <w:bCs/>
          <w:sz w:val="32"/>
          <w:szCs w:val="32"/>
          <w:lang w:val="en-US" w:eastAsia="zh-CN"/>
        </w:rPr>
        <w:t>年因公临时出国（境）任务，按程序报批后下达预算。</w:t>
      </w:r>
    </w:p>
    <w:p>
      <w:pPr>
        <w:pStyle w:val="10"/>
        <w:numPr>
          <w:ilvl w:val="0"/>
          <w:numId w:val="0"/>
        </w:numPr>
        <w:ind w:firstLine="640" w:firstLineChars="200"/>
        <w:rPr>
          <w:rFonts w:hint="default" w:ascii="仿宋_GB2312" w:hAnsi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b w:val="0"/>
          <w:bCs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cs="仿宋_GB2312"/>
          <w:b w:val="0"/>
          <w:bCs/>
          <w:sz w:val="32"/>
          <w:szCs w:val="32"/>
          <w:lang w:val="en-US" w:eastAsia="zh-CN"/>
        </w:rPr>
        <w:t>年公务接待费用于执行接待等公务活动开支的交通费、住宿费、用餐费等。</w:t>
      </w: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>公务用车购置及运行维护费支出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万元,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</w:rPr>
        <w:t>公务用车购置及运行维护费支出决算比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21年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持平（0</w:t>
      </w:r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其中：</w:t>
      </w:r>
      <w:r>
        <w:rPr>
          <w:rFonts w:hint="eastAsia" w:ascii="仿宋_GB2312" w:eastAsia="仿宋_GB2312"/>
          <w:b/>
          <w:sz w:val="32"/>
          <w:szCs w:val="32"/>
        </w:rPr>
        <w:t>公务用车购置支出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万元。全年按规定更新购置公务用车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辆，其中：轿车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万元，越野车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万元，载客汽车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月底，单位共有公务用车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辆，其中：轿车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辆、越野车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辆、载客汽车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辆。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公务用车运行维护费支出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万元。主要用于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hint="eastAsia" w:ascii="仿宋_GB2312" w:eastAsia="仿宋_GB2312"/>
          <w:sz w:val="32"/>
          <w:szCs w:val="32"/>
        </w:rPr>
        <w:t>（具体工作）等所需的公务用车燃料费、维修费、过路过桥费、保险费等支出。</w:t>
      </w:r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公务接待费支出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0.14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完成预算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100</w:t>
      </w:r>
      <w:r>
        <w:rPr>
          <w:rStyle w:val="19"/>
          <w:rFonts w:ascii="仿宋" w:hAnsi="仿宋" w:eastAsia="仿宋"/>
          <w:b w:val="0"/>
          <w:bCs/>
          <w:sz w:val="32"/>
          <w:szCs w:val="32"/>
        </w:rPr>
        <w:t>%</w:t>
      </w:r>
      <w:r>
        <w:rPr>
          <w:rStyle w:val="19"/>
          <w:rFonts w:hint="eastAsia" w:ascii="仿宋" w:hAnsi="仿宋" w:eastAsia="仿宋"/>
          <w:b w:val="0"/>
          <w:bCs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2021年本单位未单独填报决算，由系统统一填报部门决算，故无法对比</w:t>
      </w:r>
      <w:r>
        <w:rPr>
          <w:rFonts w:hint="eastAsia" w:ascii="仿宋_GB2312" w:eastAsia="仿宋_GB2312"/>
          <w:sz w:val="32"/>
          <w:szCs w:val="32"/>
        </w:rPr>
        <w:t>。其中：</w:t>
      </w:r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国内公务接待支出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0.14</w:t>
      </w:r>
      <w:r>
        <w:rPr>
          <w:rFonts w:hint="eastAsia" w:ascii="仿宋_GB2312" w:eastAsia="仿宋_GB2312"/>
          <w:sz w:val="32"/>
          <w:szCs w:val="32"/>
        </w:rPr>
        <w:t>万元，主要用于执行公务、开展业务活动开支的交通费、住宿费、用餐费等。国内公务接待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批次，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sz w:val="32"/>
          <w:szCs w:val="32"/>
        </w:rPr>
        <w:t>人次（不包括陪同人员），共计支出万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0.14万</w:t>
      </w:r>
      <w:r>
        <w:rPr>
          <w:rFonts w:hint="eastAsia" w:ascii="仿宋_GB2312" w:eastAsia="仿宋_GB2312"/>
          <w:sz w:val="32"/>
          <w:szCs w:val="32"/>
        </w:rPr>
        <w:t>元。</w:t>
      </w:r>
    </w:p>
    <w:p>
      <w:pPr>
        <w:spacing w:line="600" w:lineRule="exact"/>
        <w:ind w:firstLine="643" w:firstLineChars="200"/>
        <w:rPr>
          <w:rFonts w:ascii="黑体" w:eastAsia="黑体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外事接待支出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万元。外事接待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批次，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人次（不包括陪同人员），共计支出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  <w:bookmarkStart w:id="62" w:name="_Toc15396610"/>
      <w:bookmarkStart w:id="63" w:name="_Toc15377218"/>
    </w:p>
    <w:p>
      <w:pPr>
        <w:spacing w:line="600" w:lineRule="exact"/>
        <w:ind w:firstLine="640"/>
        <w:outlineLvl w:val="1"/>
        <w:rPr>
          <w:rStyle w:val="30"/>
          <w:rFonts w:ascii="黑体" w:hAnsi="黑体" w:eastAsia="黑体"/>
        </w:rPr>
      </w:pPr>
      <w:bookmarkStart w:id="64" w:name="_Toc24903"/>
      <w:r>
        <w:rPr>
          <w:rFonts w:hint="eastAsia" w:ascii="黑体" w:eastAsia="黑体"/>
          <w:sz w:val="32"/>
          <w:szCs w:val="32"/>
        </w:rPr>
        <w:t>八、</w:t>
      </w:r>
      <w:r>
        <w:rPr>
          <w:rStyle w:val="30"/>
          <w:rFonts w:hint="eastAsia" w:ascii="黑体" w:hAnsi="黑体" w:eastAsia="黑体"/>
          <w:b w:val="0"/>
        </w:rPr>
        <w:t>政府性基金预算支出决算情况说明</w:t>
      </w:r>
      <w:bookmarkEnd w:id="62"/>
      <w:bookmarkEnd w:id="63"/>
      <w:bookmarkEnd w:id="64"/>
    </w:p>
    <w:p>
      <w:pPr>
        <w:spacing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22年政府性基金预算财政拨款支出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30"/>
          <w:rFonts w:ascii="黑体" w:hAnsi="黑体" w:eastAsia="黑体"/>
          <w:b w:val="0"/>
        </w:rPr>
      </w:pPr>
      <w:bookmarkStart w:id="65" w:name="_Toc15377219"/>
      <w:bookmarkStart w:id="66" w:name="_Toc15396611"/>
      <w:bookmarkStart w:id="67" w:name="_Toc14004"/>
      <w:r>
        <w:rPr>
          <w:rStyle w:val="30"/>
          <w:rFonts w:hint="eastAsia" w:ascii="黑体" w:hAnsi="黑体" w:eastAsia="黑体"/>
          <w:b w:val="0"/>
        </w:rPr>
        <w:t>国有资本经营预算支出决算情况说明</w:t>
      </w:r>
      <w:bookmarkEnd w:id="65"/>
      <w:bookmarkEnd w:id="66"/>
      <w:bookmarkEnd w:id="67"/>
    </w:p>
    <w:p>
      <w:pPr>
        <w:spacing w:line="60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22年国有资本经营预算财政拨款支出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</w:t>
      </w:r>
    </w:p>
    <w:p>
      <w:pPr>
        <w:numPr>
          <w:ilvl w:val="0"/>
          <w:numId w:val="3"/>
        </w:numPr>
        <w:spacing w:line="600" w:lineRule="exact"/>
        <w:ind w:firstLine="640"/>
        <w:outlineLvl w:val="1"/>
        <w:rPr>
          <w:rStyle w:val="30"/>
          <w:rFonts w:ascii="黑体" w:hAnsi="黑体" w:eastAsia="黑体"/>
          <w:b w:val="0"/>
        </w:rPr>
      </w:pPr>
      <w:bookmarkStart w:id="68" w:name="_Toc24209"/>
      <w:bookmarkStart w:id="69" w:name="_Toc15377221"/>
      <w:bookmarkStart w:id="70" w:name="_Toc15396612"/>
      <w:r>
        <w:rPr>
          <w:rStyle w:val="30"/>
          <w:rFonts w:hint="eastAsia" w:ascii="黑体" w:hAnsi="黑体" w:eastAsia="黑体"/>
          <w:b w:val="0"/>
        </w:rPr>
        <w:t>其他重要事项的情况说明</w:t>
      </w:r>
      <w:bookmarkEnd w:id="68"/>
      <w:bookmarkEnd w:id="69"/>
      <w:bookmarkEnd w:id="70"/>
    </w:p>
    <w:p>
      <w:pPr>
        <w:spacing w:line="600" w:lineRule="exact"/>
        <w:ind w:firstLine="643" w:firstLineChars="200"/>
        <w:outlineLvl w:val="2"/>
        <w:rPr>
          <w:rFonts w:ascii="仿宋" w:hAnsi="仿宋" w:eastAsia="仿宋"/>
          <w:sz w:val="32"/>
          <w:szCs w:val="32"/>
        </w:rPr>
      </w:pPr>
      <w:bookmarkStart w:id="71" w:name="_Toc15377222"/>
      <w:bookmarkStart w:id="72" w:name="_Toc3004"/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  <w:bookmarkEnd w:id="71"/>
      <w:bookmarkEnd w:id="72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outlineLvl w:val="2"/>
        <w:rPr>
          <w:rFonts w:hint="eastAsia" w:ascii="仿宋_GB2312" w:eastAsia="仿宋_GB2312"/>
          <w:sz w:val="32"/>
          <w:szCs w:val="32"/>
          <w:lang w:eastAsia="zh-CN"/>
        </w:rPr>
      </w:pPr>
      <w:bookmarkStart w:id="73" w:name="_Toc15377223"/>
      <w:bookmarkStart w:id="74" w:name="_Toc32364"/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剑阁县盐店镇西庙卫生院</w:t>
      </w:r>
      <w:r>
        <w:rPr>
          <w:rFonts w:hint="eastAsia" w:ascii="仿宋_GB2312" w:eastAsia="仿宋_GB2312"/>
          <w:sz w:val="32"/>
          <w:szCs w:val="32"/>
        </w:rPr>
        <w:t>机关运行经费支出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eastAsia="zh-CN"/>
        </w:rPr>
        <w:t>本单位属于事业单位，无机关运行经费。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  <w:bookmarkEnd w:id="73"/>
      <w:bookmarkEnd w:id="74"/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bookmarkStart w:id="75" w:name="_Toc15377224"/>
      <w:bookmarkStart w:id="76" w:name="_Toc15989"/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剑阁县盐店镇西庙卫生院</w:t>
      </w:r>
      <w:r>
        <w:rPr>
          <w:rFonts w:hint="eastAsia" w:ascii="仿宋_GB2312" w:eastAsia="仿宋_GB2312"/>
          <w:sz w:val="32"/>
          <w:szCs w:val="32"/>
        </w:rPr>
        <w:t>政府采购支出总额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万元，其中：政府采购货物支出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万元、政府采购工程支出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万元、政府采购服务支出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万元。主要用于</w:t>
      </w:r>
      <w:r>
        <w:rPr>
          <w:rFonts w:ascii="仿宋_GB2312" w:eastAsia="仿宋_GB2312"/>
          <w:sz w:val="32"/>
          <w:szCs w:val="32"/>
        </w:rPr>
        <w:t>…</w:t>
      </w:r>
      <w:r>
        <w:rPr>
          <w:rFonts w:hint="eastAsia" w:ascii="仿宋_GB2312" w:eastAsia="仿宋_GB2312"/>
          <w:sz w:val="32"/>
          <w:szCs w:val="32"/>
        </w:rPr>
        <w:t>（具体工作）。授予中小企业合同金额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，其中：授予小微企业合同金额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万元，占政府采购支出总额的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600" w:lineRule="exact"/>
        <w:ind w:firstLine="643" w:firstLineChars="200"/>
        <w:jc w:val="left"/>
        <w:outlineLvl w:val="2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（三）国有资产占有使用情况</w:t>
      </w:r>
      <w:bookmarkEnd w:id="75"/>
      <w:bookmarkEnd w:id="76"/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default" w:ascii="仿宋_GB2312" w:hAnsi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截至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</w:rPr>
        <w:t>22年</w:t>
      </w:r>
      <w:r>
        <w:rPr>
          <w:rFonts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31</w:t>
      </w:r>
      <w:r>
        <w:rPr>
          <w:rFonts w:hint="eastAsia" w:ascii="仿宋_GB2312" w:eastAsia="仿宋_GB2312"/>
          <w:sz w:val="32"/>
          <w:szCs w:val="32"/>
        </w:rPr>
        <w:t>日，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剑阁县盐店镇西庙卫生院</w:t>
      </w:r>
      <w:r>
        <w:rPr>
          <w:rFonts w:hint="eastAsia" w:ascii="仿宋_GB2312" w:eastAsia="仿宋_GB2312"/>
          <w:sz w:val="32"/>
          <w:szCs w:val="32"/>
        </w:rPr>
        <w:t>共有车辆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辆，其中：主要领导干部用车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辆、机要通信用车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辆、应急保障用车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辆、其他用车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辆，其他用车主要是用于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护理及运送病员的特种车辆，疫苗接种及公卫下乡体检车辆</w:t>
      </w:r>
      <w:r>
        <w:rPr>
          <w:rFonts w:hint="eastAsia" w:ascii="仿宋_GB2312" w:eastAsia="仿宋_GB2312"/>
          <w:sz w:val="32"/>
          <w:szCs w:val="32"/>
        </w:rPr>
        <w:t>。单价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hint="eastAsia" w:ascii="仿宋_GB2312" w:eastAsia="仿宋_GB2312"/>
          <w:sz w:val="32"/>
          <w:szCs w:val="32"/>
        </w:rPr>
        <w:t>万元以上专用设备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台（套）。</w:t>
      </w: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left="0" w:right="0" w:firstLine="420"/>
        <w:jc w:val="both"/>
        <w:rPr>
          <w:highlight w:val="yellow"/>
        </w:rPr>
      </w:pPr>
    </w:p>
    <w:p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>
      <w:pPr>
        <w:numPr>
          <w:ilvl w:val="0"/>
          <w:numId w:val="4"/>
        </w:numPr>
        <w:spacing w:line="600" w:lineRule="exact"/>
        <w:ind w:firstLine="660" w:firstLineChars="150"/>
        <w:jc w:val="center"/>
        <w:outlineLvl w:val="0"/>
        <w:rPr>
          <w:rStyle w:val="29"/>
          <w:rFonts w:ascii="黑体" w:hAnsi="黑体" w:eastAsia="黑体"/>
          <w:b w:val="0"/>
        </w:rPr>
      </w:pPr>
      <w:bookmarkStart w:id="77" w:name="_Toc15396613"/>
      <w:bookmarkStart w:id="78" w:name="_Toc2229"/>
      <w:bookmarkStart w:id="79" w:name="_Toc15377225"/>
      <w:r>
        <w:rPr>
          <w:rFonts w:hint="eastAsia" w:ascii="黑体" w:hAnsi="黑体" w:eastAsia="黑体"/>
          <w:sz w:val="44"/>
          <w:szCs w:val="44"/>
        </w:rPr>
        <w:t>名</w:t>
      </w:r>
      <w:r>
        <w:rPr>
          <w:rStyle w:val="29"/>
          <w:rFonts w:hint="eastAsia" w:ascii="黑体" w:hAnsi="黑体" w:eastAsia="黑体"/>
          <w:b w:val="0"/>
        </w:rPr>
        <w:t>词解释</w:t>
      </w:r>
      <w:bookmarkEnd w:id="77"/>
      <w:bookmarkEnd w:id="78"/>
      <w:bookmarkEnd w:id="79"/>
    </w:p>
    <w:p>
      <w:pPr>
        <w:spacing w:line="600" w:lineRule="exact"/>
        <w:jc w:val="left"/>
        <w:rPr>
          <w:rFonts w:ascii="宋体"/>
          <w:b/>
          <w:sz w:val="44"/>
          <w:szCs w:val="44"/>
        </w:rPr>
      </w:pPr>
    </w:p>
    <w:p>
      <w:pPr>
        <w:pStyle w:val="27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bookmarkStart w:id="80" w:name="_Toc15396614"/>
      <w:bookmarkStart w:id="81" w:name="_Toc27669"/>
      <w:bookmarkStart w:id="82" w:name="_Toc15377226"/>
      <w:r>
        <w:rPr>
          <w:rFonts w:ascii="仿宋_GB2312" w:eastAsia="仿宋_GB2312"/>
          <w:color w:val="auto"/>
          <w:sz w:val="32"/>
          <w:szCs w:val="32"/>
        </w:rPr>
        <w:t>1.</w:t>
      </w:r>
      <w:r>
        <w:rPr>
          <w:rFonts w:hint="eastAsia" w:ascii="仿宋_GB2312" w:eastAsia="仿宋_GB2312"/>
          <w:color w:val="auto"/>
          <w:sz w:val="32"/>
          <w:szCs w:val="32"/>
        </w:rPr>
        <w:t>财政拨款收入：指单位从同级财政部门取得的财政预算资金。</w:t>
      </w:r>
    </w:p>
    <w:p>
      <w:pPr>
        <w:pStyle w:val="27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ascii="仿宋_GB2312" w:eastAsia="仿宋_GB2312"/>
          <w:color w:val="auto"/>
          <w:sz w:val="32"/>
          <w:szCs w:val="32"/>
        </w:rPr>
        <w:t>2.</w:t>
      </w:r>
      <w:r>
        <w:rPr>
          <w:rFonts w:hint="eastAsia" w:ascii="仿宋_GB2312" w:eastAsia="仿宋_GB2312"/>
          <w:color w:val="auto"/>
          <w:sz w:val="32"/>
          <w:szCs w:val="32"/>
        </w:rPr>
        <w:t>事业收入：指事业单位开展专业业务活动及辅助活动取得的收入。</w:t>
      </w:r>
    </w:p>
    <w:p>
      <w:pPr>
        <w:pStyle w:val="27"/>
        <w:spacing w:line="560" w:lineRule="exact"/>
        <w:ind w:left="638" w:leftChars="304" w:firstLine="0" w:firstLineChars="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其他收入：指单位取得的除上述收入以外的各项收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入。</w:t>
      </w:r>
      <w:r>
        <w:rPr>
          <w:rFonts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社会保障和就业（类）行政事业单位离退休（款）机关事业单位基本养老保险缴费支出（项）：指部门实施养老保险制度由单位缴纳的养老保险费的支出。</w:t>
      </w: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卫生健康（类）行政事业单位医疗（款）事业单位医疗（项）：指事业单位用于缴纳单位基本医疗保险支出。</w:t>
      </w:r>
    </w:p>
    <w:p>
      <w:pPr>
        <w:pStyle w:val="1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住房保障（类）住房改革支出（款）住房公积金（项）：指按照《住房公积金管理条例》的规定，由单位及其在职职工缴存的长期住房储金。</w:t>
      </w:r>
    </w:p>
    <w:p>
      <w:pPr>
        <w:pStyle w:val="1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rightChars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7、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卫生健康支出（类）公共卫生（款）基本公共卫生服务（项）：指基层医疗机构提供基本公共卫生服务支出。</w:t>
      </w: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基层医疗机构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（款）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乡镇卫生院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（项）：指基层医疗机构提供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医疗服务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支出。</w:t>
      </w:r>
    </w:p>
    <w:p>
      <w:pPr>
        <w:pStyle w:val="1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" w:lineRule="atLeast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卫生健康支出（类）基层医疗卫生机构（款）其他基层医疗卫生机构支出（项）：指基层医疗机构村卫生室补助支出。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基本支出：指为保障机构正常运转、完成日常工作任务而发生的人员支出和公用支出。</w:t>
      </w:r>
    </w:p>
    <w:p>
      <w:pPr>
        <w:pStyle w:val="27"/>
        <w:spacing w:line="5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color w:val="auto"/>
          <w:sz w:val="32"/>
          <w:szCs w:val="32"/>
        </w:rPr>
        <w:t>.</w:t>
      </w:r>
      <w:r>
        <w:rPr>
          <w:rFonts w:hint="eastAsia" w:ascii="仿宋_GB2312" w:eastAsia="仿宋_GB2312"/>
          <w:color w:val="auto"/>
          <w:sz w:val="32"/>
          <w:szCs w:val="32"/>
        </w:rPr>
        <w:t>“三公”经费：指单位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车辆购置支出（含车辆购置税）及租用费、燃料费、维修费、过路过桥费、保险费等支出；公务接待费反映单位按规定开支的各类公务接待（含外宾接待）支出。</w:t>
      </w: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bookmarkEnd w:id="80"/>
    <w:bookmarkEnd w:id="81"/>
    <w:p>
      <w:pPr>
        <w:spacing w:line="600" w:lineRule="exact"/>
        <w:jc w:val="left"/>
        <w:outlineLvl w:val="0"/>
        <w:rPr>
          <w:rFonts w:ascii="仿宋_GB2312" w:hAnsi="Calibri" w:eastAsia="仿宋_GB2312" w:cs="仿宋"/>
          <w:kern w:val="0"/>
          <w:sz w:val="32"/>
          <w:szCs w:val="32"/>
        </w:rPr>
      </w:pPr>
      <w:bookmarkStart w:id="83" w:name="_Toc15396618"/>
    </w:p>
    <w:p>
      <w:pPr>
        <w:pStyle w:val="5"/>
        <w:spacing w:before="93"/>
        <w:rPr>
          <w:rFonts w:hAnsi="Calibri" w:cs="仿宋"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  <w:bookmarkStart w:id="84" w:name="_Toc13316"/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hint="eastAsia" w:ascii="黑体" w:hAnsi="黑体" w:eastAsia="黑体"/>
          <w:sz w:val="44"/>
          <w:szCs w:val="44"/>
        </w:rPr>
      </w:pPr>
    </w:p>
    <w:p>
      <w:pPr>
        <w:spacing w:line="600" w:lineRule="exact"/>
        <w:jc w:val="center"/>
        <w:outlineLvl w:val="0"/>
        <w:rPr>
          <w:rFonts w:ascii="仿宋" w:hAnsi="仿宋" w:eastAsia="仿宋"/>
        </w:rPr>
      </w:pPr>
      <w:r>
        <w:rPr>
          <w:rFonts w:hint="eastAsia" w:ascii="黑体" w:hAnsi="黑体" w:eastAsia="黑体"/>
          <w:sz w:val="44"/>
          <w:szCs w:val="44"/>
        </w:rPr>
        <w:t>第</w:t>
      </w:r>
      <w:r>
        <w:rPr>
          <w:rStyle w:val="29"/>
          <w:rFonts w:hint="eastAsia" w:ascii="黑体" w:hAnsi="黑体" w:eastAsia="黑体"/>
          <w:b w:val="0"/>
          <w:lang w:eastAsia="zh-CN"/>
        </w:rPr>
        <w:t>四</w:t>
      </w:r>
      <w:r>
        <w:rPr>
          <w:rStyle w:val="29"/>
          <w:rFonts w:hint="eastAsia" w:ascii="黑体" w:hAnsi="黑体" w:eastAsia="黑体"/>
          <w:b w:val="0"/>
        </w:rPr>
        <w:t>部分 附表</w:t>
      </w:r>
      <w:bookmarkEnd w:id="82"/>
      <w:bookmarkEnd w:id="83"/>
      <w:bookmarkEnd w:id="84"/>
      <w:bookmarkStart w:id="85" w:name="_Toc15396619"/>
    </w:p>
    <w:p>
      <w:pPr>
        <w:pStyle w:val="7"/>
        <w:rPr>
          <w:rFonts w:ascii="仿宋" w:hAnsi="仿宋" w:eastAsia="仿宋"/>
        </w:rPr>
      </w:pPr>
      <w:bookmarkStart w:id="86" w:name="_Toc18642"/>
      <w:r>
        <w:rPr>
          <w:rFonts w:hint="eastAsia" w:ascii="仿宋" w:hAnsi="仿宋" w:eastAsia="仿宋"/>
          <w:b w:val="0"/>
        </w:rPr>
        <w:t>一、收</w:t>
      </w:r>
      <w:r>
        <w:rPr>
          <w:rStyle w:val="30"/>
          <w:rFonts w:hint="eastAsia" w:ascii="仿宋" w:hAnsi="仿宋" w:eastAsia="仿宋"/>
          <w:b w:val="0"/>
          <w:bCs w:val="0"/>
        </w:rPr>
        <w:t>入支出决算总表</w:t>
      </w:r>
      <w:bookmarkEnd w:id="85"/>
      <w:bookmarkEnd w:id="86"/>
    </w:p>
    <w:p>
      <w:pPr>
        <w:pStyle w:val="7"/>
        <w:rPr>
          <w:rFonts w:ascii="仿宋" w:hAnsi="仿宋" w:eastAsia="仿宋"/>
        </w:rPr>
      </w:pPr>
      <w:bookmarkStart w:id="87" w:name="_Toc15396620"/>
      <w:bookmarkStart w:id="88" w:name="_Toc14170"/>
      <w:r>
        <w:rPr>
          <w:rFonts w:hint="eastAsia" w:ascii="仿宋" w:hAnsi="仿宋" w:eastAsia="仿宋"/>
          <w:b w:val="0"/>
        </w:rPr>
        <w:t>二、收</w:t>
      </w:r>
      <w:r>
        <w:rPr>
          <w:rStyle w:val="30"/>
          <w:rFonts w:hint="eastAsia" w:ascii="仿宋" w:hAnsi="仿宋" w:eastAsia="仿宋"/>
          <w:b w:val="0"/>
          <w:bCs w:val="0"/>
        </w:rPr>
        <w:t>入决算表</w:t>
      </w:r>
      <w:bookmarkEnd w:id="87"/>
      <w:bookmarkEnd w:id="88"/>
    </w:p>
    <w:p>
      <w:pPr>
        <w:pStyle w:val="7"/>
        <w:rPr>
          <w:rFonts w:ascii="仿宋" w:hAnsi="仿宋" w:eastAsia="仿宋"/>
        </w:rPr>
      </w:pPr>
      <w:bookmarkStart w:id="89" w:name="_Toc18846"/>
      <w:bookmarkStart w:id="90" w:name="_Toc15396621"/>
      <w:r>
        <w:rPr>
          <w:rStyle w:val="30"/>
          <w:rFonts w:hint="eastAsia" w:ascii="仿宋" w:hAnsi="仿宋" w:eastAsia="仿宋"/>
          <w:b w:val="0"/>
          <w:bCs w:val="0"/>
        </w:rPr>
        <w:t>三、</w:t>
      </w:r>
      <w:r>
        <w:rPr>
          <w:rFonts w:hint="eastAsia" w:ascii="仿宋" w:hAnsi="仿宋" w:eastAsia="仿宋"/>
          <w:b w:val="0"/>
        </w:rPr>
        <w:t>支</w:t>
      </w:r>
      <w:r>
        <w:rPr>
          <w:rStyle w:val="30"/>
          <w:rFonts w:hint="eastAsia" w:ascii="仿宋" w:hAnsi="仿宋" w:eastAsia="仿宋"/>
          <w:b w:val="0"/>
          <w:bCs w:val="0"/>
        </w:rPr>
        <w:t>出决算表</w:t>
      </w:r>
      <w:bookmarkEnd w:id="89"/>
      <w:bookmarkEnd w:id="90"/>
    </w:p>
    <w:p>
      <w:pPr>
        <w:pStyle w:val="7"/>
        <w:rPr>
          <w:rFonts w:ascii="仿宋" w:hAnsi="仿宋" w:eastAsia="仿宋"/>
          <w:b w:val="0"/>
        </w:rPr>
      </w:pPr>
      <w:bookmarkStart w:id="91" w:name="_Toc2863"/>
      <w:bookmarkStart w:id="92" w:name="_Toc15396622"/>
      <w:r>
        <w:rPr>
          <w:rStyle w:val="30"/>
          <w:rFonts w:hint="eastAsia" w:ascii="仿宋" w:hAnsi="仿宋" w:eastAsia="仿宋"/>
          <w:b w:val="0"/>
          <w:bCs w:val="0"/>
        </w:rPr>
        <w:t>四、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30"/>
          <w:rFonts w:hint="eastAsia" w:ascii="仿宋" w:hAnsi="仿宋" w:eastAsia="仿宋"/>
          <w:b w:val="0"/>
          <w:bCs w:val="0"/>
        </w:rPr>
        <w:t>政拨款收入支出决算总表</w:t>
      </w:r>
      <w:bookmarkEnd w:id="91"/>
      <w:bookmarkEnd w:id="92"/>
    </w:p>
    <w:p>
      <w:pPr>
        <w:pStyle w:val="7"/>
        <w:rPr>
          <w:rStyle w:val="30"/>
          <w:rFonts w:ascii="仿宋" w:hAnsi="仿宋" w:eastAsia="仿宋"/>
          <w:b w:val="0"/>
          <w:bCs w:val="0"/>
        </w:rPr>
      </w:pPr>
      <w:bookmarkStart w:id="93" w:name="_Toc15396623"/>
      <w:bookmarkStart w:id="94" w:name="_Toc26517"/>
      <w:r>
        <w:rPr>
          <w:rStyle w:val="30"/>
          <w:rFonts w:hint="eastAsia" w:ascii="仿宋" w:hAnsi="仿宋" w:eastAsia="仿宋"/>
          <w:b w:val="0"/>
          <w:bCs w:val="0"/>
        </w:rPr>
        <w:t>五、</w:t>
      </w:r>
      <w:r>
        <w:rPr>
          <w:rFonts w:hint="eastAsia" w:ascii="仿宋" w:hAnsi="仿宋" w:eastAsia="仿宋"/>
          <w:b w:val="0"/>
        </w:rPr>
        <w:t>财</w:t>
      </w:r>
      <w:r>
        <w:rPr>
          <w:rStyle w:val="30"/>
          <w:rFonts w:hint="eastAsia" w:ascii="仿宋" w:hAnsi="仿宋" w:eastAsia="仿宋"/>
          <w:b w:val="0"/>
          <w:bCs w:val="0"/>
        </w:rPr>
        <w:t>政拨款支出决算明细表</w:t>
      </w:r>
      <w:bookmarkEnd w:id="93"/>
      <w:bookmarkEnd w:id="94"/>
      <w:bookmarkStart w:id="95" w:name="_Toc15396624"/>
    </w:p>
    <w:p>
      <w:pPr>
        <w:pStyle w:val="7"/>
        <w:rPr>
          <w:rFonts w:ascii="仿宋" w:hAnsi="仿宋" w:eastAsia="仿宋"/>
        </w:rPr>
      </w:pPr>
      <w:bookmarkStart w:id="96" w:name="_Toc4228"/>
      <w:r>
        <w:rPr>
          <w:rStyle w:val="30"/>
          <w:rFonts w:hint="eastAsia" w:ascii="仿宋" w:hAnsi="仿宋" w:eastAsia="仿宋"/>
          <w:b w:val="0"/>
          <w:bCs w:val="0"/>
        </w:rPr>
        <w:t>六、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般公共预算财政拨款支出决算表</w:t>
      </w:r>
      <w:bookmarkEnd w:id="95"/>
      <w:bookmarkEnd w:id="96"/>
    </w:p>
    <w:p>
      <w:pPr>
        <w:pStyle w:val="7"/>
        <w:rPr>
          <w:rFonts w:ascii="仿宋" w:hAnsi="仿宋" w:eastAsia="仿宋"/>
        </w:rPr>
      </w:pPr>
      <w:bookmarkStart w:id="97" w:name="_Toc15396625"/>
      <w:bookmarkStart w:id="98" w:name="_Toc14079"/>
      <w:r>
        <w:rPr>
          <w:rStyle w:val="30"/>
          <w:rFonts w:hint="eastAsia" w:ascii="仿宋" w:hAnsi="仿宋" w:eastAsia="仿宋"/>
          <w:b w:val="0"/>
          <w:bCs w:val="0"/>
        </w:rPr>
        <w:t>七、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般公共预算财政拨款支出决算明细表</w:t>
      </w:r>
      <w:bookmarkEnd w:id="97"/>
      <w:bookmarkEnd w:id="98"/>
    </w:p>
    <w:p>
      <w:pPr>
        <w:pStyle w:val="7"/>
        <w:rPr>
          <w:rFonts w:ascii="仿宋" w:hAnsi="仿宋" w:eastAsia="仿宋"/>
        </w:rPr>
      </w:pPr>
      <w:bookmarkStart w:id="99" w:name="_Toc3241"/>
      <w:bookmarkStart w:id="100" w:name="_Toc15396626"/>
      <w:r>
        <w:rPr>
          <w:rStyle w:val="30"/>
          <w:rFonts w:hint="eastAsia" w:ascii="仿宋" w:hAnsi="仿宋" w:eastAsia="仿宋"/>
          <w:b w:val="0"/>
          <w:bCs w:val="0"/>
        </w:rPr>
        <w:t>八、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般公共预算财政拨款基本支出决算表</w:t>
      </w:r>
      <w:bookmarkEnd w:id="99"/>
      <w:bookmarkEnd w:id="100"/>
    </w:p>
    <w:p>
      <w:pPr>
        <w:pStyle w:val="7"/>
        <w:rPr>
          <w:rFonts w:ascii="仿宋" w:hAnsi="仿宋" w:eastAsia="仿宋"/>
        </w:rPr>
      </w:pPr>
      <w:bookmarkStart w:id="101" w:name="_Toc15396627"/>
      <w:bookmarkStart w:id="102" w:name="_Toc27015"/>
      <w:r>
        <w:rPr>
          <w:rStyle w:val="30"/>
          <w:rFonts w:hint="eastAsia" w:ascii="仿宋" w:hAnsi="仿宋" w:eastAsia="仿宋"/>
          <w:b w:val="0"/>
          <w:bCs w:val="0"/>
        </w:rPr>
        <w:t>九、</w:t>
      </w:r>
      <w:r>
        <w:rPr>
          <w:rFonts w:hint="eastAsia" w:ascii="仿宋" w:hAnsi="仿宋" w:eastAsia="仿宋"/>
          <w:b w:val="0"/>
        </w:rPr>
        <w:t>一</w:t>
      </w:r>
      <w:r>
        <w:rPr>
          <w:rStyle w:val="30"/>
          <w:rFonts w:hint="eastAsia" w:ascii="仿宋" w:hAnsi="仿宋" w:eastAsia="仿宋"/>
          <w:b w:val="0"/>
          <w:bCs w:val="0"/>
        </w:rPr>
        <w:t>般公共预算财政拨款项目支出决算表</w:t>
      </w:r>
      <w:bookmarkEnd w:id="101"/>
      <w:bookmarkEnd w:id="102"/>
    </w:p>
    <w:p>
      <w:pPr>
        <w:pStyle w:val="7"/>
        <w:rPr>
          <w:rFonts w:ascii="仿宋" w:hAnsi="仿宋" w:eastAsia="仿宋"/>
        </w:rPr>
      </w:pPr>
      <w:bookmarkStart w:id="103" w:name="_Toc15396628"/>
      <w:bookmarkStart w:id="104" w:name="_Toc19919"/>
      <w:r>
        <w:rPr>
          <w:rStyle w:val="30"/>
          <w:rFonts w:hint="eastAsia" w:ascii="仿宋" w:hAnsi="仿宋" w:eastAsia="仿宋"/>
          <w:b w:val="0"/>
          <w:bCs w:val="0"/>
        </w:rPr>
        <w:t>十、</w:t>
      </w:r>
      <w:bookmarkEnd w:id="103"/>
      <w:r>
        <w:rPr>
          <w:rFonts w:hint="eastAsia" w:ascii="仿宋" w:hAnsi="仿宋" w:eastAsia="仿宋"/>
          <w:b w:val="0"/>
        </w:rPr>
        <w:t>政</w:t>
      </w:r>
      <w:r>
        <w:rPr>
          <w:rStyle w:val="30"/>
          <w:rFonts w:hint="eastAsia" w:ascii="仿宋" w:hAnsi="仿宋" w:eastAsia="仿宋"/>
          <w:b w:val="0"/>
          <w:bCs w:val="0"/>
        </w:rPr>
        <w:t>府性基金预算财政拨款收入支出决算表</w:t>
      </w:r>
      <w:bookmarkEnd w:id="104"/>
    </w:p>
    <w:p>
      <w:pPr>
        <w:pStyle w:val="7"/>
        <w:rPr>
          <w:rFonts w:ascii="仿宋" w:hAnsi="仿宋" w:eastAsia="仿宋"/>
        </w:rPr>
      </w:pPr>
      <w:bookmarkStart w:id="105" w:name="_Toc15396629"/>
      <w:bookmarkStart w:id="106" w:name="_Toc13059"/>
      <w:r>
        <w:rPr>
          <w:rStyle w:val="30"/>
          <w:rFonts w:hint="eastAsia" w:ascii="仿宋" w:hAnsi="仿宋" w:eastAsia="仿宋"/>
          <w:b w:val="0"/>
          <w:bCs w:val="0"/>
        </w:rPr>
        <w:t>十一、</w:t>
      </w:r>
      <w:bookmarkEnd w:id="105"/>
      <w:r>
        <w:rPr>
          <w:rFonts w:hint="eastAsia" w:ascii="仿宋" w:hAnsi="仿宋" w:eastAsia="仿宋"/>
          <w:b w:val="0"/>
        </w:rPr>
        <w:t>国</w:t>
      </w:r>
      <w:r>
        <w:rPr>
          <w:rStyle w:val="30"/>
          <w:rFonts w:hint="eastAsia" w:ascii="仿宋" w:hAnsi="仿宋" w:eastAsia="仿宋"/>
          <w:b w:val="0"/>
          <w:bCs w:val="0"/>
        </w:rPr>
        <w:t>有资本经营预算财政拨款收入支出决算表</w:t>
      </w:r>
      <w:bookmarkEnd w:id="106"/>
    </w:p>
    <w:p>
      <w:pPr>
        <w:pStyle w:val="7"/>
        <w:rPr>
          <w:rFonts w:ascii="仿宋" w:hAnsi="仿宋" w:eastAsia="仿宋"/>
        </w:rPr>
      </w:pPr>
      <w:bookmarkStart w:id="107" w:name="_Toc15396630"/>
      <w:bookmarkStart w:id="108" w:name="_Toc1326"/>
      <w:r>
        <w:rPr>
          <w:rStyle w:val="30"/>
          <w:rFonts w:hint="eastAsia" w:ascii="仿宋" w:hAnsi="仿宋" w:eastAsia="仿宋"/>
          <w:b w:val="0"/>
          <w:bCs w:val="0"/>
        </w:rPr>
        <w:t>十二、</w:t>
      </w:r>
      <w:bookmarkEnd w:id="107"/>
      <w:r>
        <w:rPr>
          <w:rStyle w:val="30"/>
          <w:rFonts w:hint="eastAsia" w:ascii="仿宋" w:hAnsi="仿宋" w:eastAsia="仿宋"/>
          <w:b w:val="0"/>
          <w:bCs w:val="0"/>
        </w:rPr>
        <w:t>国有资本经营预算财政拨款支出决算表</w:t>
      </w:r>
      <w:bookmarkEnd w:id="108"/>
    </w:p>
    <w:p>
      <w:pPr>
        <w:pStyle w:val="7"/>
        <w:rPr>
          <w:rFonts w:eastAsia="仿宋"/>
        </w:rPr>
      </w:pPr>
      <w:bookmarkStart w:id="109" w:name="_Toc15396631"/>
      <w:bookmarkStart w:id="110" w:name="_Toc8580"/>
      <w:r>
        <w:rPr>
          <w:rStyle w:val="30"/>
          <w:rFonts w:hint="eastAsia" w:ascii="仿宋" w:hAnsi="仿宋" w:eastAsia="仿宋"/>
          <w:b w:val="0"/>
          <w:bCs w:val="0"/>
        </w:rPr>
        <w:t>十三、</w:t>
      </w:r>
      <w:bookmarkEnd w:id="109"/>
      <w:r>
        <w:rPr>
          <w:rStyle w:val="30"/>
          <w:rFonts w:hint="eastAsia" w:ascii="仿宋" w:hAnsi="仿宋" w:eastAsia="仿宋"/>
          <w:b w:val="0"/>
          <w:bCs w:val="0"/>
        </w:rPr>
        <w:t>财政拨款“三公”经费支出决算表</w:t>
      </w:r>
      <w:bookmarkEnd w:id="11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4781956"/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652CEC"/>
    <w:multiLevelType w:val="singleLevel"/>
    <w:tmpl w:val="CF652CE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2FA047D"/>
    <w:multiLevelType w:val="singleLevel"/>
    <w:tmpl w:val="E2FA047D"/>
    <w:lvl w:ilvl="0" w:tentative="0">
      <w:start w:val="3"/>
      <w:numFmt w:val="chineseCounting"/>
      <w:suff w:val="space"/>
      <w:lvlText w:val="第%1部分"/>
      <w:lvlJc w:val="left"/>
      <w:rPr>
        <w:rFonts w:hint="eastAsia" w:ascii="黑体" w:hAnsi="黑体" w:eastAsia="黑体" w:cs="黑体"/>
        <w:sz w:val="44"/>
        <w:szCs w:val="44"/>
      </w:rPr>
    </w:lvl>
  </w:abstractNum>
  <w:abstractNum w:abstractNumId="2">
    <w:nsid w:val="1272550B"/>
    <w:multiLevelType w:val="multilevel"/>
    <w:tmpl w:val="1272550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 w:val="0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818A09A"/>
    <w:multiLevelType w:val="singleLevel"/>
    <w:tmpl w:val="3818A09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1ZjZhOThhOGZiYzQwNWYwZTFhMmI3MTU3Nzg2NjEifQ=="/>
  </w:docVars>
  <w:rsids>
    <w:rsidRoot w:val="00F1361C"/>
    <w:rsid w:val="000222C6"/>
    <w:rsid w:val="0002549F"/>
    <w:rsid w:val="000409D9"/>
    <w:rsid w:val="000468DB"/>
    <w:rsid w:val="0006487A"/>
    <w:rsid w:val="00065F8F"/>
    <w:rsid w:val="00070A43"/>
    <w:rsid w:val="000768F2"/>
    <w:rsid w:val="0009184B"/>
    <w:rsid w:val="00094236"/>
    <w:rsid w:val="0009593C"/>
    <w:rsid w:val="00097322"/>
    <w:rsid w:val="000A6A92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14E9B"/>
    <w:rsid w:val="00142216"/>
    <w:rsid w:val="00144D6A"/>
    <w:rsid w:val="0014729F"/>
    <w:rsid w:val="00157BAB"/>
    <w:rsid w:val="001654D1"/>
    <w:rsid w:val="00174518"/>
    <w:rsid w:val="0018106D"/>
    <w:rsid w:val="001877A7"/>
    <w:rsid w:val="00191536"/>
    <w:rsid w:val="00196687"/>
    <w:rsid w:val="001A3C1B"/>
    <w:rsid w:val="001C0962"/>
    <w:rsid w:val="001D7531"/>
    <w:rsid w:val="001E737D"/>
    <w:rsid w:val="001F0592"/>
    <w:rsid w:val="001F7506"/>
    <w:rsid w:val="002006CD"/>
    <w:rsid w:val="00202B36"/>
    <w:rsid w:val="00204B7A"/>
    <w:rsid w:val="00204CDE"/>
    <w:rsid w:val="0021101A"/>
    <w:rsid w:val="00220536"/>
    <w:rsid w:val="00235629"/>
    <w:rsid w:val="00260C38"/>
    <w:rsid w:val="002616C0"/>
    <w:rsid w:val="00265372"/>
    <w:rsid w:val="002662AA"/>
    <w:rsid w:val="00280496"/>
    <w:rsid w:val="00294DC9"/>
    <w:rsid w:val="00295495"/>
    <w:rsid w:val="002A31DE"/>
    <w:rsid w:val="002B2613"/>
    <w:rsid w:val="002C7CD4"/>
    <w:rsid w:val="002D6D05"/>
    <w:rsid w:val="002F1818"/>
    <w:rsid w:val="002F567B"/>
    <w:rsid w:val="003216A9"/>
    <w:rsid w:val="00335A74"/>
    <w:rsid w:val="0036561B"/>
    <w:rsid w:val="0037013F"/>
    <w:rsid w:val="00380C92"/>
    <w:rsid w:val="003A484F"/>
    <w:rsid w:val="003A4883"/>
    <w:rsid w:val="003B0BE0"/>
    <w:rsid w:val="003B0C1B"/>
    <w:rsid w:val="003B688C"/>
    <w:rsid w:val="003C0291"/>
    <w:rsid w:val="003C39AE"/>
    <w:rsid w:val="003C7B60"/>
    <w:rsid w:val="003D0C0F"/>
    <w:rsid w:val="003D1FB2"/>
    <w:rsid w:val="003D66DA"/>
    <w:rsid w:val="003E1310"/>
    <w:rsid w:val="003E6F55"/>
    <w:rsid w:val="00406254"/>
    <w:rsid w:val="004223DE"/>
    <w:rsid w:val="00434489"/>
    <w:rsid w:val="00437085"/>
    <w:rsid w:val="00443880"/>
    <w:rsid w:val="004464F4"/>
    <w:rsid w:val="00471401"/>
    <w:rsid w:val="00473F31"/>
    <w:rsid w:val="0048263A"/>
    <w:rsid w:val="00487E5D"/>
    <w:rsid w:val="004A711F"/>
    <w:rsid w:val="004B199D"/>
    <w:rsid w:val="004B4690"/>
    <w:rsid w:val="004D7BF4"/>
    <w:rsid w:val="004E0A2D"/>
    <w:rsid w:val="004E206B"/>
    <w:rsid w:val="004E6DF7"/>
    <w:rsid w:val="004F0FBD"/>
    <w:rsid w:val="00505A47"/>
    <w:rsid w:val="00512FDA"/>
    <w:rsid w:val="00520DA0"/>
    <w:rsid w:val="005664BB"/>
    <w:rsid w:val="00566FFA"/>
    <w:rsid w:val="0057481D"/>
    <w:rsid w:val="0058486E"/>
    <w:rsid w:val="00585B33"/>
    <w:rsid w:val="00587AA4"/>
    <w:rsid w:val="0059014D"/>
    <w:rsid w:val="005B5C64"/>
    <w:rsid w:val="005C5337"/>
    <w:rsid w:val="005C6BD0"/>
    <w:rsid w:val="005D1C8B"/>
    <w:rsid w:val="005D468D"/>
    <w:rsid w:val="005D5CED"/>
    <w:rsid w:val="005F1A4C"/>
    <w:rsid w:val="00605688"/>
    <w:rsid w:val="006070AF"/>
    <w:rsid w:val="00607E6C"/>
    <w:rsid w:val="006101B1"/>
    <w:rsid w:val="00614E44"/>
    <w:rsid w:val="0062270A"/>
    <w:rsid w:val="00622830"/>
    <w:rsid w:val="00623DA0"/>
    <w:rsid w:val="00630AEF"/>
    <w:rsid w:val="00630E31"/>
    <w:rsid w:val="006325F8"/>
    <w:rsid w:val="00633463"/>
    <w:rsid w:val="00634C9A"/>
    <w:rsid w:val="006440E4"/>
    <w:rsid w:val="0066343B"/>
    <w:rsid w:val="00664777"/>
    <w:rsid w:val="006748A4"/>
    <w:rsid w:val="00681A31"/>
    <w:rsid w:val="00683E73"/>
    <w:rsid w:val="006A3141"/>
    <w:rsid w:val="006A5E34"/>
    <w:rsid w:val="006B2422"/>
    <w:rsid w:val="006B2B9A"/>
    <w:rsid w:val="006C1937"/>
    <w:rsid w:val="006F020C"/>
    <w:rsid w:val="007127B7"/>
    <w:rsid w:val="0071798E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1682"/>
    <w:rsid w:val="007D312A"/>
    <w:rsid w:val="007D3F19"/>
    <w:rsid w:val="007E23B0"/>
    <w:rsid w:val="007E23E5"/>
    <w:rsid w:val="007F1991"/>
    <w:rsid w:val="007F2C2F"/>
    <w:rsid w:val="007F55FC"/>
    <w:rsid w:val="007F5665"/>
    <w:rsid w:val="00800112"/>
    <w:rsid w:val="00813348"/>
    <w:rsid w:val="008253BB"/>
    <w:rsid w:val="0083706E"/>
    <w:rsid w:val="008408F6"/>
    <w:rsid w:val="008423A5"/>
    <w:rsid w:val="00850625"/>
    <w:rsid w:val="00853718"/>
    <w:rsid w:val="00855221"/>
    <w:rsid w:val="00860645"/>
    <w:rsid w:val="00871F71"/>
    <w:rsid w:val="00872FD8"/>
    <w:rsid w:val="00885AF4"/>
    <w:rsid w:val="008939CD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33499"/>
    <w:rsid w:val="00935C98"/>
    <w:rsid w:val="00946945"/>
    <w:rsid w:val="00951248"/>
    <w:rsid w:val="0095152F"/>
    <w:rsid w:val="00954C49"/>
    <w:rsid w:val="00955E37"/>
    <w:rsid w:val="009575B9"/>
    <w:rsid w:val="0096294D"/>
    <w:rsid w:val="0097099F"/>
    <w:rsid w:val="00971997"/>
    <w:rsid w:val="00971FFC"/>
    <w:rsid w:val="0098660A"/>
    <w:rsid w:val="009931C3"/>
    <w:rsid w:val="009B2C43"/>
    <w:rsid w:val="009B4EAE"/>
    <w:rsid w:val="009B7573"/>
    <w:rsid w:val="009C22F4"/>
    <w:rsid w:val="009C2A4B"/>
    <w:rsid w:val="009C2E98"/>
    <w:rsid w:val="009D3447"/>
    <w:rsid w:val="009D4711"/>
    <w:rsid w:val="009F1185"/>
    <w:rsid w:val="009F18CD"/>
    <w:rsid w:val="009F2A13"/>
    <w:rsid w:val="009F7527"/>
    <w:rsid w:val="00A04EB0"/>
    <w:rsid w:val="00A13CC1"/>
    <w:rsid w:val="00A16847"/>
    <w:rsid w:val="00A237D8"/>
    <w:rsid w:val="00A268C4"/>
    <w:rsid w:val="00A307CD"/>
    <w:rsid w:val="00A331C8"/>
    <w:rsid w:val="00A40A00"/>
    <w:rsid w:val="00A4142F"/>
    <w:rsid w:val="00A422EB"/>
    <w:rsid w:val="00A45BB7"/>
    <w:rsid w:val="00A56DF2"/>
    <w:rsid w:val="00A56E6E"/>
    <w:rsid w:val="00A67AB5"/>
    <w:rsid w:val="00A733B2"/>
    <w:rsid w:val="00A741C2"/>
    <w:rsid w:val="00A91760"/>
    <w:rsid w:val="00A93B00"/>
    <w:rsid w:val="00A93C21"/>
    <w:rsid w:val="00AB64C9"/>
    <w:rsid w:val="00AC3C6A"/>
    <w:rsid w:val="00AD5620"/>
    <w:rsid w:val="00AD656B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310B9"/>
    <w:rsid w:val="00B35F3F"/>
    <w:rsid w:val="00B36CBB"/>
    <w:rsid w:val="00B425E0"/>
    <w:rsid w:val="00B440AA"/>
    <w:rsid w:val="00B44B70"/>
    <w:rsid w:val="00B53C56"/>
    <w:rsid w:val="00B57DAF"/>
    <w:rsid w:val="00B77EA6"/>
    <w:rsid w:val="00B81598"/>
    <w:rsid w:val="00B841F1"/>
    <w:rsid w:val="00B873A9"/>
    <w:rsid w:val="00B944D6"/>
    <w:rsid w:val="00BB4DF0"/>
    <w:rsid w:val="00BC289F"/>
    <w:rsid w:val="00BC2D50"/>
    <w:rsid w:val="00BC5361"/>
    <w:rsid w:val="00BC5460"/>
    <w:rsid w:val="00BC6B50"/>
    <w:rsid w:val="00BD0E25"/>
    <w:rsid w:val="00BF5BD6"/>
    <w:rsid w:val="00C03E31"/>
    <w:rsid w:val="00C1671B"/>
    <w:rsid w:val="00C33E72"/>
    <w:rsid w:val="00C354B2"/>
    <w:rsid w:val="00C35554"/>
    <w:rsid w:val="00C42709"/>
    <w:rsid w:val="00C533CC"/>
    <w:rsid w:val="00C56F3A"/>
    <w:rsid w:val="00C5751C"/>
    <w:rsid w:val="00C61BFC"/>
    <w:rsid w:val="00C62B85"/>
    <w:rsid w:val="00C65438"/>
    <w:rsid w:val="00C87FD8"/>
    <w:rsid w:val="00C91381"/>
    <w:rsid w:val="00C91CBB"/>
    <w:rsid w:val="00CB4E70"/>
    <w:rsid w:val="00CC09B6"/>
    <w:rsid w:val="00CC666F"/>
    <w:rsid w:val="00CD1E3F"/>
    <w:rsid w:val="00CE44F6"/>
    <w:rsid w:val="00CE49DA"/>
    <w:rsid w:val="00CE7B61"/>
    <w:rsid w:val="00D00095"/>
    <w:rsid w:val="00D114F0"/>
    <w:rsid w:val="00D20620"/>
    <w:rsid w:val="00D254F7"/>
    <w:rsid w:val="00D26091"/>
    <w:rsid w:val="00D2685C"/>
    <w:rsid w:val="00D34E7C"/>
    <w:rsid w:val="00D35489"/>
    <w:rsid w:val="00D36AFE"/>
    <w:rsid w:val="00D51276"/>
    <w:rsid w:val="00D7035F"/>
    <w:rsid w:val="00DA634F"/>
    <w:rsid w:val="00DA65AC"/>
    <w:rsid w:val="00DB1913"/>
    <w:rsid w:val="00DC410D"/>
    <w:rsid w:val="00DC5A81"/>
    <w:rsid w:val="00DC68CA"/>
    <w:rsid w:val="00DC7CBA"/>
    <w:rsid w:val="00DD73B7"/>
    <w:rsid w:val="00DF28BC"/>
    <w:rsid w:val="00DF34B9"/>
    <w:rsid w:val="00E01053"/>
    <w:rsid w:val="00E07ACF"/>
    <w:rsid w:val="00E331A1"/>
    <w:rsid w:val="00E33202"/>
    <w:rsid w:val="00E336A9"/>
    <w:rsid w:val="00E472B1"/>
    <w:rsid w:val="00E50624"/>
    <w:rsid w:val="00E568DF"/>
    <w:rsid w:val="00E64269"/>
    <w:rsid w:val="00E82267"/>
    <w:rsid w:val="00E853CE"/>
    <w:rsid w:val="00E867B6"/>
    <w:rsid w:val="00EA010F"/>
    <w:rsid w:val="00ED1B63"/>
    <w:rsid w:val="00ED3C1F"/>
    <w:rsid w:val="00ED4085"/>
    <w:rsid w:val="00ED420E"/>
    <w:rsid w:val="00ED6FBE"/>
    <w:rsid w:val="00EE2F57"/>
    <w:rsid w:val="00EF4C34"/>
    <w:rsid w:val="00EF77C6"/>
    <w:rsid w:val="00F05438"/>
    <w:rsid w:val="00F1361C"/>
    <w:rsid w:val="00F156F0"/>
    <w:rsid w:val="00F160C7"/>
    <w:rsid w:val="00F2408F"/>
    <w:rsid w:val="00F240E9"/>
    <w:rsid w:val="00F36D8F"/>
    <w:rsid w:val="00F417B1"/>
    <w:rsid w:val="00F45853"/>
    <w:rsid w:val="00F602DF"/>
    <w:rsid w:val="00F754A1"/>
    <w:rsid w:val="00F81FD9"/>
    <w:rsid w:val="00F841AA"/>
    <w:rsid w:val="00F84A94"/>
    <w:rsid w:val="00F87E96"/>
    <w:rsid w:val="00FA23E8"/>
    <w:rsid w:val="00FD3CC1"/>
    <w:rsid w:val="00FF1E02"/>
    <w:rsid w:val="00FF30B4"/>
    <w:rsid w:val="053A62B5"/>
    <w:rsid w:val="06035A0B"/>
    <w:rsid w:val="0A2032A3"/>
    <w:rsid w:val="0B8A37D8"/>
    <w:rsid w:val="0DD71E98"/>
    <w:rsid w:val="0E954EF5"/>
    <w:rsid w:val="10C055FF"/>
    <w:rsid w:val="10CA1840"/>
    <w:rsid w:val="116E2B13"/>
    <w:rsid w:val="118107EC"/>
    <w:rsid w:val="11DD6519"/>
    <w:rsid w:val="15EA64E1"/>
    <w:rsid w:val="15FB249C"/>
    <w:rsid w:val="16BB723D"/>
    <w:rsid w:val="16FD4421"/>
    <w:rsid w:val="17DD622C"/>
    <w:rsid w:val="18015F3F"/>
    <w:rsid w:val="1B192484"/>
    <w:rsid w:val="1B1B60E1"/>
    <w:rsid w:val="1BE8440E"/>
    <w:rsid w:val="1D155CEE"/>
    <w:rsid w:val="20F57F95"/>
    <w:rsid w:val="210C7C53"/>
    <w:rsid w:val="233B6426"/>
    <w:rsid w:val="240371BF"/>
    <w:rsid w:val="25711CC6"/>
    <w:rsid w:val="25C741E6"/>
    <w:rsid w:val="26F646D5"/>
    <w:rsid w:val="27766CAE"/>
    <w:rsid w:val="27842671"/>
    <w:rsid w:val="29FD04D3"/>
    <w:rsid w:val="2ABE7A3E"/>
    <w:rsid w:val="2C292267"/>
    <w:rsid w:val="2C967B1C"/>
    <w:rsid w:val="2CA234A8"/>
    <w:rsid w:val="2ECA4F8B"/>
    <w:rsid w:val="2EFA178C"/>
    <w:rsid w:val="30B46D73"/>
    <w:rsid w:val="31577141"/>
    <w:rsid w:val="319F7F4E"/>
    <w:rsid w:val="3340381D"/>
    <w:rsid w:val="341D4D0F"/>
    <w:rsid w:val="346040E6"/>
    <w:rsid w:val="36E921AB"/>
    <w:rsid w:val="376B0711"/>
    <w:rsid w:val="383D272C"/>
    <w:rsid w:val="39AE70AB"/>
    <w:rsid w:val="3B8C2115"/>
    <w:rsid w:val="3C0C0783"/>
    <w:rsid w:val="3F127D23"/>
    <w:rsid w:val="3F9F3A96"/>
    <w:rsid w:val="416B044F"/>
    <w:rsid w:val="46584C1D"/>
    <w:rsid w:val="48BF60AB"/>
    <w:rsid w:val="493C27E9"/>
    <w:rsid w:val="496F39ED"/>
    <w:rsid w:val="49FF41D3"/>
    <w:rsid w:val="4BE068DB"/>
    <w:rsid w:val="4BF6002B"/>
    <w:rsid w:val="4E62740C"/>
    <w:rsid w:val="4ECE2238"/>
    <w:rsid w:val="51DB4B86"/>
    <w:rsid w:val="52157E66"/>
    <w:rsid w:val="527F1783"/>
    <w:rsid w:val="55333C3E"/>
    <w:rsid w:val="554A7E27"/>
    <w:rsid w:val="560501F2"/>
    <w:rsid w:val="56B23ED5"/>
    <w:rsid w:val="56D906A2"/>
    <w:rsid w:val="585522E6"/>
    <w:rsid w:val="593A6404"/>
    <w:rsid w:val="5BEC3F4A"/>
    <w:rsid w:val="5DB34A67"/>
    <w:rsid w:val="607B31B3"/>
    <w:rsid w:val="60F64D17"/>
    <w:rsid w:val="620E1DBB"/>
    <w:rsid w:val="64CA39A1"/>
    <w:rsid w:val="675A0C66"/>
    <w:rsid w:val="69630ADE"/>
    <w:rsid w:val="6C4A05C8"/>
    <w:rsid w:val="6CA717CE"/>
    <w:rsid w:val="6D3B1A89"/>
    <w:rsid w:val="6DB1246A"/>
    <w:rsid w:val="71BF4EC2"/>
    <w:rsid w:val="72734D90"/>
    <w:rsid w:val="7412278C"/>
    <w:rsid w:val="74FA31C0"/>
    <w:rsid w:val="779B44C7"/>
    <w:rsid w:val="79E7B28D"/>
    <w:rsid w:val="7AD53E17"/>
    <w:rsid w:val="7F9F20EE"/>
    <w:rsid w:val="9E3A10E2"/>
    <w:rsid w:val="F2E1F9D4"/>
    <w:rsid w:val="F78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7">
    <w:name w:val="heading 2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"/>
    <w:basedOn w:val="5"/>
    <w:qFormat/>
    <w:uiPriority w:val="0"/>
    <w:pPr>
      <w:ind w:firstLine="420" w:firstLineChars="100"/>
    </w:pPr>
  </w:style>
  <w:style w:type="paragraph" w:styleId="5">
    <w:name w:val="Body Text"/>
    <w:basedOn w:val="1"/>
    <w:link w:val="26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9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10">
    <w:name w:val="Plain Text"/>
    <w:basedOn w:val="1"/>
    <w:qFormat/>
    <w:uiPriority w:val="99"/>
    <w:rPr>
      <w:rFonts w:ascii="宋体" w:hAnsi="Courier New" w:eastAsia="仿宋_GB2312" w:cs="Courier New"/>
      <w:b/>
      <w:sz w:val="32"/>
      <w:szCs w:val="21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13">
    <w:name w:val="header"/>
    <w:basedOn w:val="1"/>
    <w:link w:val="2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5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paragraph" w:styleId="1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9">
    <w:name w:val="Strong"/>
    <w:basedOn w:val="18"/>
    <w:qFormat/>
    <w:uiPriority w:val="99"/>
    <w:rPr>
      <w:b/>
    </w:rPr>
  </w:style>
  <w:style w:type="character" w:styleId="20">
    <w:name w:val="Hyperlink"/>
    <w:basedOn w:val="1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1">
    <w:name w:val="Header Char"/>
    <w:basedOn w:val="18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2">
    <w:name w:val="页眉 字符"/>
    <w:link w:val="13"/>
    <w:semiHidden/>
    <w:qFormat/>
    <w:locked/>
    <w:uiPriority w:val="99"/>
    <w:rPr>
      <w:sz w:val="18"/>
    </w:rPr>
  </w:style>
  <w:style w:type="character" w:customStyle="1" w:styleId="23">
    <w:name w:val="Footer Char"/>
    <w:basedOn w:val="18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4">
    <w:name w:val="页脚 字符"/>
    <w:link w:val="12"/>
    <w:qFormat/>
    <w:locked/>
    <w:uiPriority w:val="99"/>
    <w:rPr>
      <w:sz w:val="18"/>
    </w:rPr>
  </w:style>
  <w:style w:type="character" w:customStyle="1" w:styleId="25">
    <w:name w:val="Body Text Char"/>
    <w:basedOn w:val="18"/>
    <w:semiHidden/>
    <w:qFormat/>
    <w:uiPriority w:val="99"/>
    <w:rPr>
      <w:rFonts w:ascii="Times New Roman" w:hAnsi="Times New Roman"/>
      <w:szCs w:val="24"/>
    </w:rPr>
  </w:style>
  <w:style w:type="character" w:customStyle="1" w:styleId="26">
    <w:name w:val="正文文本 字符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7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  <w:style w:type="character" w:customStyle="1" w:styleId="29">
    <w:name w:val="标题 1 字符"/>
    <w:basedOn w:val="18"/>
    <w:link w:val="6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30">
    <w:name w:val="标题 2 字符"/>
    <w:basedOn w:val="18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31">
    <w:name w:val="TOC 标题1"/>
    <w:basedOn w:val="6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2">
    <w:name w:val="批注框文本 字符"/>
    <w:basedOn w:val="18"/>
    <w:link w:val="11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3">
    <w:name w:val="标题 3 字符"/>
    <w:basedOn w:val="18"/>
    <w:link w:val="8"/>
    <w:qFormat/>
    <w:uiPriority w:val="9"/>
    <w:rPr>
      <w:rFonts w:ascii="Times New Roman" w:hAnsi="Times New Roman"/>
      <w:b/>
      <w:bCs/>
      <w:kern w:val="2"/>
      <w:sz w:val="32"/>
      <w:szCs w:val="32"/>
    </w:rPr>
  </w:style>
  <w:style w:type="paragraph" w:customStyle="1" w:styleId="34">
    <w:name w:val="TOC 标题2"/>
    <w:basedOn w:val="6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4.xml"/><Relationship Id="rId8" Type="http://schemas.openxmlformats.org/officeDocument/2006/relationships/chart" Target="charts/chart3.xml"/><Relationship Id="rId7" Type="http://schemas.openxmlformats.org/officeDocument/2006/relationships/chart" Target="charts/chart2.xml"/><Relationship Id="rId6" Type="http://schemas.openxmlformats.org/officeDocument/2006/relationships/chart" Target="charts/chart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&#35199;&#24217;\AppData\Local\Temp\Temp5afb70ab-6743-4faf-a92b-538a4ba27836_&#20844;&#24320;&#21450;&#25209;&#22797;&#26448;&#26009;&#65288;&#20379;&#21442;&#32771;&#65289;.zip\&#20844;&#24320;&#21450;&#25209;&#22797;&#26448;&#26009;&#65288;&#20379;&#21442;&#32771;&#65289;\&#30465;&#26412;&#32423;\&#20844;&#24320;&#26448;&#26009;\&#20915;&#31639;&#20844;&#24320;&#25554;&#22270;&#21046;&#20316;&#31034;&#203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199;&#24217;\Desktop\&#20915;&#31639;&#20844;&#24320;&#25554;&#22270;&#21046;&#20316;&#31034;&#2036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199;&#24217;\Desktop\&#20915;&#31639;&#20844;&#24320;&#25554;&#22270;&#21046;&#20316;&#31034;&#2036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35199;&#24217;\Desktop\&#20915;&#31639;&#20844;&#24320;&#25554;&#22270;&#21046;&#20316;&#31034;&#203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图</a:t>
            </a:r>
            <a:r>
              <a:rPr lang="en-US" altLang="zh-CN"/>
              <a:t>2:</a:t>
            </a:r>
            <a:r>
              <a:rPr altLang="en-US"/>
              <a:t>收入决算结构图</a:t>
            </a:r>
            <a:endParaRPr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42013888888889"/>
          <c:y val="0.176388888888889"/>
          <c:w val="0.324305555555556"/>
          <c:h val="0.540509259259259"/>
        </c:manualLayout>
      </c:layout>
      <c:pieChart>
        <c:varyColors val="1"/>
        <c:ser>
          <c:idx val="0"/>
          <c:order val="0"/>
          <c:spPr/>
          <c:explosion val="0"/>
          <c:dLbls>
            <c:delete val="1"/>
          </c:dLbls>
          <c:cat>
            <c:strRef>
              <c:f>[决算公开插图制作示例.xlsx]图二!$A$1:$A$6</c:f>
              <c:strCache>
                <c:ptCount val="6"/>
                <c:pt idx="0">
                  <c:v>一、一般公共预算财政拨款收入</c:v>
                </c:pt>
                <c:pt idx="3">
                  <c:v>四、事业收入</c:v>
                </c:pt>
                <c:pt idx="5">
                  <c:v>六、其他收入</c:v>
                </c:pt>
              </c:strCache>
            </c:strRef>
          </c:cat>
          <c:val>
            <c:numRef>
              <c:f>[决算公开插图制作示例.xlsx]图二!$B$1:$B$6</c:f>
            </c:numRef>
          </c:val>
        </c:ser>
        <c:ser>
          <c:idx val="1"/>
          <c:order val="1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0.0321654287916653"/>
                  <c:y val="-0.14979027458553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[决算公开插图制作示例.xlsx]图二!$A$1:$A$6</c:f>
              <c:strCache>
                <c:ptCount val="6"/>
                <c:pt idx="0">
                  <c:v>一、一般公共预算财政拨款收入</c:v>
                </c:pt>
                <c:pt idx="3">
                  <c:v>四、事业收入</c:v>
                </c:pt>
                <c:pt idx="5">
                  <c:v>六、其他收入</c:v>
                </c:pt>
              </c:strCache>
            </c:strRef>
          </c:cat>
          <c:val>
            <c:numRef>
              <c:f>[决算公开插图制作示例.xlsx]图二!$C$1:$C$6</c:f>
              <c:numCache>
                <c:formatCode>0.00%</c:formatCode>
                <c:ptCount val="6"/>
                <c:pt idx="0">
                  <c:v>0.4</c:v>
                </c:pt>
                <c:pt idx="3">
                  <c:v>0.59</c:v>
                </c:pt>
                <c:pt idx="5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9224846894138"/>
          <c:y val="0.150462962962963"/>
          <c:w val="0.566371172353456"/>
          <c:h val="0.689814814814815"/>
        </c:manualLayout>
      </c:layout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Lbls>
            <c:dLbl>
              <c:idx val="0"/>
              <c:layout>
                <c:manualLayout>
                  <c:x val="0.0848707349081365"/>
                  <c:y val="-0.17157334499854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286458880139982"/>
                  <c:y val="0.140147273257509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[决算公开插图制作示例.xlsx]图三!$A$2:$B$2</c:f>
              <c:strCache>
                <c:ptCount val="2"/>
                <c:pt idx="0">
                  <c:v>基本支出</c:v>
                </c:pt>
                <c:pt idx="1">
                  <c:v>项目支出</c:v>
                </c:pt>
              </c:strCache>
            </c:strRef>
          </c:cat>
          <c:val>
            <c:numRef>
              <c:f>[决算公开插图制作示例.xlsx]图三!$A$3:$B$3</c:f>
              <c:numCache>
                <c:formatCode>0.00%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7043088363955"/>
          <c:y val="0.434801326917469"/>
          <c:w val="0.186845800524934"/>
          <c:h val="0.167434383202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>
                <c:manualLayout>
                  <c:x val="0.0483216316710411"/>
                  <c:y val="0.09773804316127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0546208442694663"/>
                  <c:y val="-0.035963108778069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100951443569554"/>
                  <c:y val="-0.13227836103820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66543197725284"/>
                  <c:y val="-0.10867344706911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[决算公开插图制作示例.xlsx]图6!$A$2:$A$5</c:f>
              <c:strCache>
                <c:ptCount val="4"/>
                <c:pt idx="0">
                  <c:v>一般公共服务（类）支出</c:v>
                </c:pt>
                <c:pt idx="1">
                  <c:v>社会保障和就业（类）支出</c:v>
                </c:pt>
                <c:pt idx="2">
                  <c:v>卫生健康(类)支出</c:v>
                </c:pt>
                <c:pt idx="3">
                  <c:v>住房保障（类）支出</c:v>
                </c:pt>
              </c:strCache>
            </c:strRef>
          </c:cat>
          <c:val>
            <c:numRef>
              <c:f>[决算公开插图制作示例.xlsx]图6!$B$2:$B$5</c:f>
              <c:numCache>
                <c:formatCode>General</c:formatCode>
                <c:ptCount val="4"/>
                <c:pt idx="0">
                  <c:v>106.73</c:v>
                </c:pt>
                <c:pt idx="1">
                  <c:v>7.36</c:v>
                </c:pt>
                <c:pt idx="2">
                  <c:v>96.31</c:v>
                </c:pt>
                <c:pt idx="3">
                  <c:v>3.06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0677309711286089"/>
                  <c:y val="-0.062589676290463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12130139982502"/>
                  <c:y val="-0.049858194808982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79491251093613"/>
                  <c:y val="0.054969743365412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[决算公开插图制作示例.xlsx]图7!$A$2:$A$4</c:f>
              <c:strCache>
                <c:ptCount val="3"/>
                <c:pt idx="0">
                  <c:v>因公出国（境）费支出</c:v>
                </c:pt>
                <c:pt idx="1">
                  <c:v>公务用车购置及运行维护费支出</c:v>
                </c:pt>
                <c:pt idx="2">
                  <c:v>公务接待费支出</c:v>
                </c:pt>
              </c:strCache>
            </c:strRef>
          </c:cat>
          <c:val>
            <c:numRef>
              <c:f>[决算公开插图制作示例.xlsx]图7!$B$2:$B$4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0.14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15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4920094314907"/>
          <c:y val="0.341517389739563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17</Pages>
  <Words>5274</Words>
  <Characters>626</Characters>
  <Lines>5</Lines>
  <Paragraphs>11</Paragraphs>
  <TotalTime>0</TotalTime>
  <ScaleCrop>false</ScaleCrop>
  <LinksUpToDate>false</LinksUpToDate>
  <CharactersWithSpaces>5889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2020-08-05T01:49:00Z</dcterms:created>
  <dc:creator>曹颖</dc:creator>
  <cp:lastModifiedBy>NO LOVE</cp:lastModifiedBy>
  <cp:lastPrinted>2023-07-31T02:35:00Z</cp:lastPrinted>
  <dcterms:modified xsi:type="dcterms:W3CDTF">2023-10-31T02:44:05Z</dcterms:modified>
  <dc:title>四川省***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18226BBC6A4A46C0827D16B62309E40D_12</vt:lpwstr>
  </property>
</Properties>
</file>