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96475"/>
      <w:bookmarkStart w:id="4" w:name="_Toc15378441"/>
      <w:bookmarkStart w:id="5" w:name="_Toc149307196"/>
      <w:bookmarkStart w:id="6" w:name="_Toc15377425"/>
      <w:bookmarkStart w:id="7" w:name="_Toc147933314"/>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47933315"/>
      <w:bookmarkStart w:id="9" w:name="_Toc149307197"/>
      <w:bookmarkStart w:id="10" w:name="_Toc15396476"/>
      <w:bookmarkStart w:id="11" w:name="_Toc15378442"/>
      <w:bookmarkStart w:id="12" w:name="_Toc15377194"/>
      <w:bookmarkStart w:id="13" w:name="_Toc15396598"/>
      <w:bookmarkStart w:id="14" w:name="_Toc15377426"/>
      <w:r>
        <w:rPr>
          <w:rFonts w:hint="eastAsia" w:ascii="方正小标宋简体" w:hAnsi="方正小标宋简体" w:eastAsia="方正小标宋简体" w:cs="方正小标宋简体"/>
          <w:sz w:val="72"/>
          <w:szCs w:val="72"/>
        </w:rPr>
        <w:t>剑阁县</w:t>
      </w:r>
      <w:bookmarkEnd w:id="0"/>
      <w:bookmarkStart w:id="15" w:name="_Toc15306268"/>
      <w:r>
        <w:rPr>
          <w:rFonts w:hint="eastAsia" w:ascii="方正小标宋简体" w:hAnsi="方正小标宋简体" w:eastAsia="方正小标宋简体" w:cs="方正小标宋简体"/>
          <w:sz w:val="72"/>
          <w:szCs w:val="72"/>
        </w:rPr>
        <w:t>东宝镇卫生院</w:t>
      </w:r>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147933316"/>
      <w:bookmarkStart w:id="17" w:name="_Toc149307198"/>
      <w:r>
        <w:rPr>
          <w:rFonts w:hint="eastAsia" w:ascii="方正小标宋简体" w:hAnsi="方正小标宋简体" w:eastAsia="方正小标宋简体" w:cs="方正小标宋简体"/>
          <w:sz w:val="72"/>
          <w:szCs w:val="72"/>
        </w:rPr>
        <w:t>单位决算</w:t>
      </w:r>
      <w:bookmarkEnd w:id="10"/>
      <w:bookmarkEnd w:id="11"/>
      <w:bookmarkEnd w:id="12"/>
      <w:bookmarkEnd w:id="13"/>
      <w:bookmarkEnd w:id="14"/>
      <w:bookmarkEnd w:id="15"/>
      <w:bookmarkEnd w:id="16"/>
      <w:bookmarkEnd w:id="17"/>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bookmarkStart w:id="129" w:name="_GoBack"/>
      <w:bookmarkEnd w:id="129"/>
    </w:p>
    <w:p>
      <w:pPr>
        <w:widowControl/>
        <w:jc w:val="center"/>
        <w:rPr>
          <w:rFonts w:ascii="黑体" w:hAnsi="黑体" w:eastAsia="黑体" w:cstheme="minorBidi"/>
          <w:sz w:val="28"/>
          <w:szCs w:val="28"/>
        </w:rPr>
      </w:pPr>
    </w:p>
    <w:p>
      <w:pPr>
        <w:pStyle w:val="14"/>
      </w:pPr>
      <w:r>
        <w:rPr>
          <w:rFonts w:hint="eastAsia"/>
        </w:rPr>
        <w:t>公开时间：2023年 10月 2</w:t>
      </w:r>
      <w:r>
        <w:rPr>
          <w:rFonts w:hint="eastAsia"/>
          <w:lang w:val="en-US" w:eastAsia="zh-CN"/>
        </w:rPr>
        <w:t>9</w:t>
      </w:r>
      <w:r>
        <w:rPr>
          <w:rFonts w:hint="eastAsia"/>
        </w:rPr>
        <w:t>日</w:t>
      </w:r>
    </w:p>
    <w:sdt>
      <w:sdtPr>
        <w:rPr>
          <w:rFonts w:ascii="Times New Roman" w:hAnsi="Times New Roman" w:eastAsia="宋体"/>
          <w:b/>
          <w:bCs/>
          <w:sz w:val="21"/>
          <w:szCs w:val="24"/>
          <w:lang w:val="zh-CN"/>
        </w:rPr>
        <w:id w:val="1870952250"/>
        <w:docPartObj>
          <w:docPartGallery w:val="Table of Contents"/>
          <w:docPartUnique/>
        </w:docPartObj>
      </w:sdtPr>
      <w:sdtEndPr>
        <w:rPr>
          <w:rFonts w:ascii="Times New Roman" w:hAnsi="Times New Roman" w:eastAsia="宋体"/>
          <w:b w:val="0"/>
          <w:bCs w:val="0"/>
          <w:sz w:val="21"/>
          <w:szCs w:val="24"/>
          <w:lang w:val="zh-CN"/>
        </w:rPr>
      </w:sdtEndPr>
      <w:sdtContent>
        <w:p>
          <w:pPr>
            <w:pStyle w:val="14"/>
            <w:ind w:firstLine="422"/>
            <w:rPr>
              <w:rFonts w:asciiTheme="minorHAnsi" w:hAnsiTheme="minorHAnsi" w:eastAsiaTheme="minorEastAsia" w:cstheme="minorBidi"/>
              <w:sz w:val="21"/>
              <w:szCs w:val="22"/>
            </w:rPr>
          </w:pPr>
          <w:bookmarkStart w:id="18" w:name="_Toc15396599"/>
          <w:bookmarkStart w:id="19" w:name="_Toc15377196"/>
          <w:r>
            <w:rPr>
              <w:rFonts w:asciiTheme="majorHAnsi" w:hAnsiTheme="majorHAnsi" w:eastAsiaTheme="majorEastAsia" w:cstheme="majorBidi"/>
              <w:color w:val="376092" w:themeColor="accent1" w:themeShade="BF"/>
              <w:kern w:val="0"/>
            </w:rPr>
            <w:fldChar w:fldCharType="begin"/>
          </w:r>
          <w:r>
            <w:instrText xml:space="preserve"> TOC \o "1-3" \h \z \u </w:instrText>
          </w:r>
          <w:r>
            <w:rPr>
              <w:rFonts w:asciiTheme="majorHAnsi" w:hAnsiTheme="majorHAnsi" w:eastAsiaTheme="majorEastAsia" w:cstheme="majorBidi"/>
              <w:color w:val="376092" w:themeColor="accent1" w:themeShade="BF"/>
              <w:kern w:val="0"/>
            </w:rPr>
            <w:fldChar w:fldCharType="separate"/>
          </w:r>
        </w:p>
        <w:p>
          <w:pPr>
            <w:pStyle w:val="14"/>
            <w:rPr>
              <w:rFonts w:asciiTheme="minorHAnsi" w:hAnsiTheme="minorHAnsi" w:eastAsiaTheme="minorEastAsia" w:cstheme="minorBidi"/>
              <w:sz w:val="21"/>
              <w:szCs w:val="22"/>
            </w:rPr>
          </w:pPr>
          <w:r>
            <w:fldChar w:fldCharType="begin"/>
          </w:r>
          <w:r>
            <w:instrText xml:space="preserve"> HYPERLINK \l "_Toc149307199" </w:instrText>
          </w:r>
          <w:r>
            <w:fldChar w:fldCharType="separate"/>
          </w:r>
          <w:r>
            <w:rPr>
              <w:rStyle w:val="19"/>
              <w:rFonts w:hint="eastAsia" w:ascii="黑体" w:hAnsi="黑体" w:eastAsia="黑体"/>
            </w:rPr>
            <w:t>第一部分</w:t>
          </w:r>
          <w:r>
            <w:rPr>
              <w:rStyle w:val="19"/>
              <w:rFonts w:ascii="黑体" w:hAnsi="黑体" w:eastAsia="黑体"/>
            </w:rPr>
            <w:t xml:space="preserve"> </w:t>
          </w:r>
          <w:r>
            <w:rPr>
              <w:rStyle w:val="19"/>
              <w:rFonts w:hint="eastAsia" w:ascii="黑体" w:hAnsi="黑体" w:eastAsia="黑体"/>
            </w:rPr>
            <w:t>单位概况</w:t>
          </w:r>
          <w:r>
            <w:tab/>
          </w:r>
          <w:r>
            <w:fldChar w:fldCharType="begin"/>
          </w:r>
          <w:r>
            <w:instrText xml:space="preserve"> PAGEREF _Toc149307199 \h </w:instrText>
          </w:r>
          <w:r>
            <w:fldChar w:fldCharType="separate"/>
          </w:r>
          <w:r>
            <w:t>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"_Toc149307200" </w:instrText>
          </w:r>
          <w:r>
            <w:fldChar w:fldCharType="separate"/>
          </w:r>
          <w:r>
            <w:rPr>
              <w:rStyle w:val="19"/>
              <w:rFonts w:hint="eastAsia" w:ascii="黑体" w:hAnsi="黑体" w:eastAsia="黑体"/>
            </w:rPr>
            <w:t>一、 主要职责</w:t>
          </w:r>
          <w:r>
            <w:tab/>
          </w:r>
          <w:r>
            <w:fldChar w:fldCharType="begin"/>
          </w:r>
          <w:r>
            <w:instrText xml:space="preserve"> PAGEREF _Toc149307200 \h </w:instrText>
          </w:r>
          <w:r>
            <w:fldChar w:fldCharType="separate"/>
          </w:r>
          <w:r>
            <w:t>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"_Toc149307201" </w:instrText>
          </w:r>
          <w:r>
            <w:fldChar w:fldCharType="separate"/>
          </w:r>
          <w:r>
            <w:rPr>
              <w:rStyle w:val="19"/>
              <w:rFonts w:hint="eastAsia" w:ascii="黑体" w:hAnsi="黑体" w:eastAsia="黑体"/>
            </w:rPr>
            <w:t>二、 机构设置</w:t>
          </w:r>
          <w:r>
            <w:tab/>
          </w:r>
          <w:r>
            <w:fldChar w:fldCharType="begin"/>
          </w:r>
          <w:r>
            <w:instrText xml:space="preserve"> PAGEREF _Toc149307201 \h </w:instrText>
          </w:r>
          <w:r>
            <w:fldChar w:fldCharType="separate"/>
          </w:r>
          <w:r>
            <w:t>3</w:t>
          </w:r>
          <w:r>
            <w:fldChar w:fldCharType="end"/>
          </w:r>
          <w:r>
            <w:fldChar w:fldCharType="end"/>
          </w:r>
        </w:p>
        <w:p>
          <w:pPr>
            <w:pStyle w:val="14"/>
            <w:rPr>
              <w:rFonts w:asciiTheme="minorHAnsi" w:hAnsiTheme="minorHAnsi" w:eastAsiaTheme="minorEastAsia" w:cstheme="minorBidi"/>
              <w:sz w:val="21"/>
              <w:szCs w:val="22"/>
            </w:rPr>
          </w:pPr>
          <w:r>
            <w:fldChar w:fldCharType="begin"/>
          </w:r>
          <w:r>
            <w:instrText xml:space="preserve"> HYPERLINK \l "_Toc149307202" </w:instrText>
          </w:r>
          <w:r>
            <w:fldChar w:fldCharType="separate"/>
          </w:r>
          <w:r>
            <w:rPr>
              <w:rStyle w:val="19"/>
              <w:rFonts w:hint="eastAsia" w:ascii="黑体" w:hAnsi="黑体" w:eastAsia="黑体"/>
            </w:rPr>
            <w:t>第二部分</w:t>
          </w:r>
          <w:r>
            <w:rPr>
              <w:rStyle w:val="19"/>
              <w:rFonts w:ascii="黑体" w:hAnsi="黑体" w:eastAsia="黑体"/>
            </w:rPr>
            <w:t xml:space="preserve"> 2022</w:t>
          </w:r>
          <w:r>
            <w:rPr>
              <w:rStyle w:val="19"/>
              <w:rFonts w:hint="eastAsia" w:ascii="黑体" w:hAnsi="黑体" w:eastAsia="黑体"/>
            </w:rPr>
            <w:t>年度单位决算情况说明</w:t>
          </w:r>
          <w:r>
            <w:tab/>
          </w:r>
          <w:r>
            <w:fldChar w:fldCharType="begin"/>
          </w:r>
          <w:r>
            <w:instrText xml:space="preserve"> PAGEREF _Toc149307202 \h </w:instrText>
          </w:r>
          <w:r>
            <w:fldChar w:fldCharType="separate"/>
          </w:r>
          <w:r>
            <w:t>7</w:t>
          </w:r>
          <w:r>
            <w:fldChar w:fldCharType="end"/>
          </w:r>
          <w:r>
            <w:fldChar w:fldCharType="end"/>
          </w:r>
        </w:p>
        <w:p>
          <w:pPr>
            <w:pStyle w:val="15"/>
            <w:tabs>
              <w:tab w:val="left" w:pos="1260"/>
            </w:tabs>
            <w:rPr>
              <w:rFonts w:asciiTheme="minorHAnsi" w:hAnsiTheme="minorHAnsi" w:eastAsiaTheme="minorEastAsia" w:cstheme="minorBidi"/>
              <w:szCs w:val="22"/>
            </w:rPr>
          </w:pPr>
          <w:r>
            <w:fldChar w:fldCharType="begin"/>
          </w:r>
          <w:r>
            <w:instrText xml:space="preserve"> HYPERLINK \l "_Toc149307203" </w:instrText>
          </w:r>
          <w:r>
            <w:fldChar w:fldCharType="separate"/>
          </w:r>
          <w:r>
            <w:rPr>
              <w:rStyle w:val="19"/>
              <w:rFonts w:hint="eastAsia" w:ascii="黑体" w:hAnsi="黑体" w:eastAsia="黑体" w:cstheme="majorBidi"/>
              <w:bCs/>
            </w:rPr>
            <w:t>一、</w:t>
          </w:r>
          <w:r>
            <w:rPr>
              <w:rFonts w:asciiTheme="minorHAnsi" w:hAnsiTheme="minorHAnsi" w:eastAsiaTheme="minorEastAsia" w:cstheme="minorBidi"/>
              <w:szCs w:val="22"/>
            </w:rPr>
            <w:tab/>
          </w:r>
          <w:r>
            <w:rPr>
              <w:rStyle w:val="19"/>
              <w:rFonts w:hint="eastAsia" w:ascii="黑体" w:hAnsi="黑体" w:eastAsia="黑体"/>
            </w:rPr>
            <w:t>收</w:t>
          </w:r>
          <w:r>
            <w:rPr>
              <w:rStyle w:val="19"/>
              <w:rFonts w:hint="eastAsia" w:ascii="黑体" w:hAnsi="黑体" w:eastAsia="黑体" w:cstheme="majorBidi"/>
              <w:bCs/>
            </w:rPr>
            <w:t>入支出决算总体情况说明</w:t>
          </w:r>
          <w:r>
            <w:tab/>
          </w:r>
          <w:r>
            <w:fldChar w:fldCharType="begin"/>
          </w:r>
          <w:r>
            <w:instrText xml:space="preserve"> PAGEREF _Toc149307203 \h </w:instrText>
          </w:r>
          <w:r>
            <w:fldChar w:fldCharType="separate"/>
          </w:r>
          <w:r>
            <w:t>7</w:t>
          </w:r>
          <w:r>
            <w:fldChar w:fldCharType="end"/>
          </w:r>
          <w:r>
            <w:fldChar w:fldCharType="end"/>
          </w:r>
        </w:p>
        <w:p>
          <w:pPr>
            <w:pStyle w:val="15"/>
            <w:tabs>
              <w:tab w:val="left" w:pos="1260"/>
            </w:tabs>
            <w:rPr>
              <w:rFonts w:asciiTheme="minorHAnsi" w:hAnsiTheme="minorHAnsi" w:eastAsiaTheme="minorEastAsia" w:cstheme="minorBidi"/>
              <w:szCs w:val="22"/>
            </w:rPr>
          </w:pPr>
          <w:r>
            <w:fldChar w:fldCharType="begin"/>
          </w:r>
          <w:r>
            <w:instrText xml:space="preserve"> HYPERLINK \l "_Toc149307204" </w:instrText>
          </w:r>
          <w:r>
            <w:fldChar w:fldCharType="separate"/>
          </w:r>
          <w:r>
            <w:rPr>
              <w:rStyle w:val="19"/>
              <w:rFonts w:hint="eastAsia" w:ascii="黑体" w:hAnsi="黑体" w:eastAsia="黑体" w:cstheme="majorBidi"/>
              <w:bCs/>
            </w:rPr>
            <w:t>二、</w:t>
          </w:r>
          <w:r>
            <w:rPr>
              <w:rFonts w:asciiTheme="minorHAnsi" w:hAnsiTheme="minorHAnsi" w:eastAsiaTheme="minorEastAsia" w:cstheme="minorBidi"/>
              <w:szCs w:val="22"/>
            </w:rPr>
            <w:tab/>
          </w:r>
          <w:r>
            <w:rPr>
              <w:rStyle w:val="19"/>
              <w:rFonts w:hint="eastAsia" w:ascii="黑体" w:hAnsi="黑体" w:eastAsia="黑体"/>
            </w:rPr>
            <w:t>收</w:t>
          </w:r>
          <w:r>
            <w:rPr>
              <w:rStyle w:val="19"/>
              <w:rFonts w:hint="eastAsia" w:ascii="黑体" w:hAnsi="黑体" w:eastAsia="黑体" w:cstheme="majorBidi"/>
              <w:bCs/>
            </w:rPr>
            <w:t>入决算情况说明</w:t>
          </w:r>
          <w:r>
            <w:tab/>
          </w:r>
          <w:r>
            <w:fldChar w:fldCharType="begin"/>
          </w:r>
          <w:r>
            <w:instrText xml:space="preserve"> PAGEREF _Toc149307204 \h </w:instrText>
          </w:r>
          <w:r>
            <w:fldChar w:fldCharType="separate"/>
          </w:r>
          <w:r>
            <w:t>7</w:t>
          </w:r>
          <w:r>
            <w:fldChar w:fldCharType="end"/>
          </w:r>
          <w:r>
            <w:fldChar w:fldCharType="end"/>
          </w:r>
        </w:p>
        <w:p>
          <w:pPr>
            <w:pStyle w:val="15"/>
            <w:tabs>
              <w:tab w:val="left" w:pos="1260"/>
            </w:tabs>
            <w:rPr>
              <w:rFonts w:asciiTheme="minorHAnsi" w:hAnsiTheme="minorHAnsi" w:eastAsiaTheme="minorEastAsia" w:cstheme="minorBidi"/>
              <w:szCs w:val="22"/>
            </w:rPr>
          </w:pPr>
          <w:r>
            <w:fldChar w:fldCharType="begin"/>
          </w:r>
          <w:r>
            <w:instrText xml:space="preserve"> HYPERLINK \l "_Toc149307206" </w:instrText>
          </w:r>
          <w:r>
            <w:fldChar w:fldCharType="separate"/>
          </w:r>
          <w:r>
            <w:rPr>
              <w:rStyle w:val="19"/>
              <w:rFonts w:hint="eastAsia" w:ascii="黑体" w:hAnsi="黑体" w:eastAsia="黑体" w:cstheme="majorBidi"/>
              <w:bCs/>
            </w:rPr>
            <w:t>三、</w:t>
          </w:r>
          <w:r>
            <w:rPr>
              <w:rFonts w:asciiTheme="minorHAnsi" w:hAnsiTheme="minorHAnsi" w:eastAsiaTheme="minorEastAsia" w:cstheme="minorBidi"/>
              <w:szCs w:val="22"/>
            </w:rPr>
            <w:tab/>
          </w:r>
          <w:r>
            <w:rPr>
              <w:rStyle w:val="19"/>
              <w:rFonts w:hint="eastAsia" w:ascii="黑体" w:hAnsi="黑体" w:eastAsia="黑体"/>
            </w:rPr>
            <w:t>支</w:t>
          </w:r>
          <w:r>
            <w:rPr>
              <w:rStyle w:val="19"/>
              <w:rFonts w:hint="eastAsia" w:ascii="黑体" w:hAnsi="黑体" w:eastAsia="黑体" w:cstheme="majorBidi"/>
              <w:bCs/>
            </w:rPr>
            <w:t>出决算情况说明</w:t>
          </w:r>
          <w:r>
            <w:tab/>
          </w:r>
          <w:r>
            <w:fldChar w:fldCharType="begin"/>
          </w:r>
          <w:r>
            <w:instrText xml:space="preserve"> PAGEREF _Toc149307206 \h </w:instrText>
          </w:r>
          <w:r>
            <w:fldChar w:fldCharType="separate"/>
          </w:r>
          <w:r>
            <w:t>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"_Toc149307208" </w:instrText>
          </w:r>
          <w:r>
            <w:fldChar w:fldCharType="separate"/>
          </w:r>
          <w:r>
            <w:rPr>
              <w:rStyle w:val="19"/>
              <w:rFonts w:hint="eastAsia" w:ascii="黑体" w:hAnsi="黑体" w:eastAsia="黑体"/>
            </w:rPr>
            <w:t>四、财</w:t>
          </w:r>
          <w:r>
            <w:rPr>
              <w:rStyle w:val="19"/>
              <w:rFonts w:hint="eastAsia" w:ascii="黑体" w:hAnsi="黑体" w:eastAsia="黑体" w:cstheme="majorBidi"/>
              <w:bCs/>
            </w:rPr>
            <w:t>政拨款收入支出决算总体情况说明</w:t>
          </w:r>
          <w:r>
            <w:tab/>
          </w:r>
          <w:r>
            <w:fldChar w:fldCharType="begin"/>
          </w:r>
          <w:r>
            <w:instrText xml:space="preserve"> PAGEREF _Toc149307208 \h </w:instrText>
          </w:r>
          <w:r>
            <w:fldChar w:fldCharType="separate"/>
          </w:r>
          <w:r>
            <w:t>8</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"_Toc149307209" </w:instrText>
          </w:r>
          <w:r>
            <w:fldChar w:fldCharType="separate"/>
          </w:r>
          <w:r>
            <w:rPr>
              <w:rStyle w:val="19"/>
              <w:rFonts w:hint="eastAsia" w:ascii="黑体" w:hAnsi="黑体" w:eastAsia="黑体"/>
            </w:rPr>
            <w:t>五、</w:t>
          </w:r>
          <w:r>
            <w:rPr>
              <w:rStyle w:val="19"/>
              <w:rFonts w:hint="eastAsia" w:ascii="黑体" w:hAnsi="黑体" w:eastAsia="黑体"/>
              <w:b/>
            </w:rPr>
            <w:t>一</w:t>
          </w:r>
          <w:r>
            <w:rPr>
              <w:rStyle w:val="19"/>
              <w:rFonts w:hint="eastAsia" w:ascii="黑体" w:hAnsi="黑体" w:eastAsia="黑体" w:cstheme="majorBidi"/>
              <w:bCs/>
            </w:rPr>
            <w:t>般公共预算财政拨款支出决算情况说明</w:t>
          </w:r>
          <w:r>
            <w:tab/>
          </w:r>
          <w:r>
            <w:fldChar w:fldCharType="begin"/>
          </w:r>
          <w:r>
            <w:instrText xml:space="preserve"> PAGEREF _Toc149307209 \h </w:instrText>
          </w:r>
          <w:r>
            <w:fldChar w:fldCharType="separate"/>
          </w:r>
          <w:r>
            <w:t>8</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"_Toc149307210" </w:instrText>
          </w:r>
          <w:r>
            <w:fldChar w:fldCharType="separate"/>
          </w:r>
          <w:r>
            <w:rPr>
              <w:rStyle w:val="19"/>
              <w:rFonts w:hint="eastAsia" w:ascii="仿宋" w:hAnsi="仿宋" w:eastAsia="仿宋"/>
              <w:b/>
            </w:rPr>
            <w:t>（一）一般公共预算财政拨款支出决算总体情况</w:t>
          </w:r>
          <w:r>
            <w:tab/>
          </w:r>
          <w:r>
            <w:fldChar w:fldCharType="begin"/>
          </w:r>
          <w:r>
            <w:instrText xml:space="preserve"> PAGEREF _Toc149307210 \h </w:instrText>
          </w:r>
          <w:r>
            <w:fldChar w:fldCharType="separate"/>
          </w:r>
          <w:r>
            <w:t>8</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"_Toc149307211" </w:instrText>
          </w:r>
          <w:r>
            <w:fldChar w:fldCharType="separate"/>
          </w:r>
          <w:r>
            <w:rPr>
              <w:rStyle w:val="19"/>
              <w:rFonts w:hint="eastAsia" w:ascii="仿宋" w:hAnsi="仿宋" w:eastAsia="仿宋"/>
              <w:b/>
            </w:rPr>
            <w:t>（二）一般公共预算财政拨款支出决算结构情况</w:t>
          </w:r>
          <w:r>
            <w:tab/>
          </w:r>
          <w:r>
            <w:fldChar w:fldCharType="begin"/>
          </w:r>
          <w:r>
            <w:instrText xml:space="preserve"> PAGEREF _Toc149307211 \h </w:instrText>
          </w:r>
          <w:r>
            <w:fldChar w:fldCharType="separate"/>
          </w:r>
          <w:r>
            <w:t>8</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"_Toc149307212" </w:instrText>
          </w:r>
          <w:r>
            <w:fldChar w:fldCharType="separate"/>
          </w:r>
          <w:r>
            <w:rPr>
              <w:rStyle w:val="19"/>
              <w:rFonts w:hint="eastAsia" w:ascii="仿宋" w:hAnsi="仿宋" w:eastAsia="仿宋"/>
              <w:b/>
            </w:rPr>
            <w:t>（三）一般公共预算财政拨款支出决算具体情况</w:t>
          </w:r>
          <w:r>
            <w:tab/>
          </w:r>
          <w:r>
            <w:fldChar w:fldCharType="begin"/>
          </w:r>
          <w:r>
            <w:instrText xml:space="preserve"> PAGEREF _Toc149307212 \h </w:instrText>
          </w:r>
          <w:r>
            <w:fldChar w:fldCharType="separate"/>
          </w:r>
          <w:r>
            <w:t>9</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"_Toc149307213" </w:instrText>
          </w:r>
          <w:r>
            <w:fldChar w:fldCharType="separate"/>
          </w:r>
          <w:r>
            <w:rPr>
              <w:rStyle w:val="19"/>
              <w:rFonts w:ascii="仿宋" w:hAnsi="仿宋" w:eastAsia="仿宋"/>
              <w:b/>
            </w:rPr>
            <w:t>2022</w:t>
          </w:r>
          <w:r>
            <w:rPr>
              <w:rStyle w:val="19"/>
              <w:rFonts w:hint="eastAsia" w:ascii="仿宋" w:hAnsi="仿宋" w:eastAsia="仿宋"/>
              <w:b/>
            </w:rPr>
            <w:t>年一般公共预算支出决算数为</w:t>
          </w:r>
          <w:r>
            <w:rPr>
              <w:rStyle w:val="19"/>
              <w:rFonts w:ascii="仿宋" w:hAnsi="仿宋" w:eastAsia="仿宋"/>
              <w:b/>
            </w:rPr>
            <w:t>191.39</w:t>
          </w:r>
          <w:r>
            <w:rPr>
              <w:rStyle w:val="19"/>
              <w:rFonts w:hint="eastAsia" w:ascii="仿宋" w:hAnsi="仿宋" w:eastAsia="仿宋"/>
              <w:b/>
            </w:rPr>
            <w:t>万元</w:t>
          </w:r>
          <w:r>
            <w:rPr>
              <w:rStyle w:val="19"/>
              <w:rFonts w:hint="eastAsia" w:ascii="仿宋" w:hAnsi="仿宋" w:eastAsia="仿宋"/>
            </w:rPr>
            <w:t>，</w:t>
          </w:r>
          <w:r>
            <w:rPr>
              <w:rStyle w:val="19"/>
              <w:rFonts w:hint="eastAsia" w:ascii="仿宋" w:hAnsi="仿宋" w:eastAsia="仿宋"/>
              <w:b/>
              <w:bCs/>
            </w:rPr>
            <w:t>完成预算</w:t>
          </w:r>
          <w:r>
            <w:rPr>
              <w:rStyle w:val="19"/>
              <w:rFonts w:ascii="仿宋" w:hAnsi="仿宋" w:eastAsia="仿宋"/>
              <w:b/>
              <w:bCs/>
            </w:rPr>
            <w:t>100%</w:t>
          </w:r>
          <w:r>
            <w:rPr>
              <w:rStyle w:val="19"/>
              <w:rFonts w:hint="eastAsia" w:ascii="仿宋" w:hAnsi="仿宋" w:eastAsia="仿宋"/>
              <w:b/>
              <w:bCs/>
            </w:rPr>
            <w:t>。其中：</w:t>
          </w:r>
          <w:r>
            <w:tab/>
          </w:r>
          <w:r>
            <w:fldChar w:fldCharType="begin"/>
          </w:r>
          <w:r>
            <w:instrText xml:space="preserve"> PAGEREF _Toc149307213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"_Toc149307214" </w:instrText>
          </w:r>
          <w:r>
            <w:fldChar w:fldCharType="separate"/>
          </w:r>
          <w:r>
            <w:rPr>
              <w:rStyle w:val="19"/>
              <w:rFonts w:hint="eastAsia" w:ascii="黑体" w:eastAsia="黑体"/>
            </w:rPr>
            <w:t>六</w:t>
          </w:r>
          <w:r>
            <w:rPr>
              <w:rStyle w:val="19"/>
              <w:rFonts w:hint="eastAsia" w:ascii="黑体" w:eastAsia="黑体"/>
              <w:b/>
            </w:rPr>
            <w:t>、</w:t>
          </w:r>
          <w:r>
            <w:rPr>
              <w:rStyle w:val="19"/>
              <w:rFonts w:hint="eastAsia" w:ascii="黑体" w:hAnsi="黑体" w:eastAsia="黑体"/>
              <w:b/>
            </w:rPr>
            <w:t>一</w:t>
          </w:r>
          <w:r>
            <w:rPr>
              <w:rStyle w:val="19"/>
              <w:rFonts w:hint="eastAsia" w:ascii="黑体" w:hAnsi="黑体" w:eastAsia="黑体" w:cstheme="majorBidi"/>
              <w:bCs/>
            </w:rPr>
            <w:t>般公共预算财政拨款基本支出决算情况说明</w:t>
          </w:r>
          <w:r>
            <w:tab/>
          </w:r>
          <w:r>
            <w:fldChar w:fldCharType="begin"/>
          </w:r>
          <w:r>
            <w:instrText xml:space="preserve"> PAGEREF _Toc149307214 \h </w:instrText>
          </w:r>
          <w:r>
            <w:fldChar w:fldCharType="separate"/>
          </w:r>
          <w:r>
            <w:t>10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"_Toc149307215" </w:instrText>
          </w:r>
          <w:r>
            <w:fldChar w:fldCharType="separate"/>
          </w:r>
          <w:r>
            <w:rPr>
              <w:rStyle w:val="19"/>
              <w:rFonts w:hint="eastAsia" w:ascii="黑体" w:eastAsia="黑体"/>
            </w:rPr>
            <w:t>七、</w:t>
          </w:r>
          <w:r>
            <w:rPr>
              <w:rStyle w:val="19"/>
              <w:rFonts w:hint="eastAsia" w:ascii="黑体" w:hAnsi="黑体" w:eastAsia="黑体" w:cstheme="majorBidi"/>
              <w:bCs/>
            </w:rPr>
            <w:t>财政拨款</w:t>
          </w:r>
          <w:r>
            <w:rPr>
              <w:rStyle w:val="19"/>
              <w:rFonts w:ascii="黑体" w:hAnsi="黑体" w:eastAsia="黑体" w:cstheme="majorBidi"/>
              <w:b/>
              <w:bCs/>
            </w:rPr>
            <w:t>“</w:t>
          </w:r>
          <w:r>
            <w:rPr>
              <w:rStyle w:val="19"/>
              <w:rFonts w:hint="eastAsia" w:ascii="黑体" w:hAnsi="黑体" w:eastAsia="黑体" w:cstheme="majorBidi"/>
              <w:bCs/>
            </w:rPr>
            <w:t>三公”经费支出决算情况说明</w:t>
          </w:r>
          <w:r>
            <w:tab/>
          </w:r>
          <w:r>
            <w:fldChar w:fldCharType="begin"/>
          </w:r>
          <w:r>
            <w:instrText xml:space="preserve"> PAGEREF _Toc149307215 \h </w:instrText>
          </w:r>
          <w:r>
            <w:fldChar w:fldCharType="separate"/>
          </w:r>
          <w:r>
            <w:t>10</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"_Toc149307216" </w:instrText>
          </w:r>
          <w:r>
            <w:fldChar w:fldCharType="separate"/>
          </w:r>
          <w:r>
            <w:rPr>
              <w:rStyle w:val="19"/>
              <w:rFonts w:hint="eastAsia" w:ascii="仿宋" w:hAnsi="仿宋" w:eastAsia="仿宋"/>
              <w:b/>
            </w:rPr>
            <w:t>（一）“三公”经费财政拨款支出决算总体情况说明</w:t>
          </w:r>
          <w:r>
            <w:tab/>
          </w:r>
          <w:r>
            <w:fldChar w:fldCharType="begin"/>
          </w:r>
          <w:r>
            <w:instrText xml:space="preserve"> PAGEREF _Toc149307216 \h </w:instrText>
          </w:r>
          <w:r>
            <w:fldChar w:fldCharType="separate"/>
          </w:r>
          <w:r>
            <w:t>10</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"_Toc149307217" </w:instrText>
          </w:r>
          <w:r>
            <w:fldChar w:fldCharType="separate"/>
          </w:r>
          <w:r>
            <w:rPr>
              <w:rStyle w:val="19"/>
              <w:rFonts w:hint="eastAsia" w:ascii="仿宋" w:hAnsi="仿宋" w:eastAsia="仿宋"/>
              <w:b/>
            </w:rPr>
            <w:t>（二）“三公”经费财政拨款支出决算具体情况说明</w:t>
          </w:r>
          <w:r>
            <w:tab/>
          </w:r>
          <w:r>
            <w:fldChar w:fldCharType="begin"/>
          </w:r>
          <w:r>
            <w:instrText xml:space="preserve"> PAGEREF _Toc149307217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"_Toc149307218" </w:instrText>
          </w:r>
          <w:r>
            <w:fldChar w:fldCharType="separate"/>
          </w:r>
          <w:r>
            <w:rPr>
              <w:rStyle w:val="19"/>
              <w:rFonts w:hint="eastAsia" w:ascii="黑体" w:eastAsia="黑体"/>
            </w:rPr>
            <w:t>八、</w:t>
          </w:r>
          <w:r>
            <w:rPr>
              <w:rStyle w:val="19"/>
              <w:rFonts w:hint="eastAsia" w:ascii="黑体" w:hAnsi="黑体" w:eastAsia="黑体" w:cstheme="majorBidi"/>
              <w:bCs/>
            </w:rPr>
            <w:t>政府性基金预算支出决算情况说明</w:t>
          </w:r>
          <w:r>
            <w:tab/>
          </w:r>
          <w:r>
            <w:fldChar w:fldCharType="begin"/>
          </w:r>
          <w:r>
            <w:instrText xml:space="preserve"> PAGEREF _Toc149307218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"_Toc149307219" </w:instrText>
          </w:r>
          <w:r>
            <w:fldChar w:fldCharType="separate"/>
          </w:r>
          <w:r>
            <w:rPr>
              <w:rStyle w:val="19"/>
              <w:rFonts w:hint="eastAsia" w:ascii="黑体" w:hAnsi="黑体" w:eastAsia="黑体" w:cstheme="majorBidi"/>
              <w:bCs/>
            </w:rPr>
            <w:t>九、 国有资本经营预算支出决算情况说明</w:t>
          </w:r>
          <w:r>
            <w:tab/>
          </w:r>
          <w:r>
            <w:fldChar w:fldCharType="begin"/>
          </w:r>
          <w:r>
            <w:instrText xml:space="preserve"> PAGEREF _Toc149307219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"_Toc149307220" </w:instrText>
          </w:r>
          <w:r>
            <w:fldChar w:fldCharType="separate"/>
          </w:r>
          <w:r>
            <w:rPr>
              <w:rStyle w:val="19"/>
              <w:rFonts w:hint="eastAsia" w:ascii="黑体" w:hAnsi="黑体" w:eastAsia="黑体" w:cstheme="majorBidi"/>
              <w:bCs/>
            </w:rPr>
            <w:t>十、 其他重要事项的情况说明</w:t>
          </w:r>
          <w:r>
            <w:tab/>
          </w:r>
          <w:r>
            <w:fldChar w:fldCharType="begin"/>
          </w:r>
          <w:r>
            <w:instrText xml:space="preserve"> PAGEREF _Toc149307220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"_Toc149307221" </w:instrText>
          </w:r>
          <w:r>
            <w:fldChar w:fldCharType="separate"/>
          </w:r>
          <w:r>
            <w:rPr>
              <w:rStyle w:val="19"/>
              <w:rFonts w:hint="eastAsia" w:ascii="仿宋" w:hAnsi="仿宋" w:eastAsia="仿宋"/>
              <w:b/>
            </w:rPr>
            <w:t>（一）机关运行经费支出情况</w:t>
          </w:r>
          <w:r>
            <w:tab/>
          </w:r>
          <w:r>
            <w:fldChar w:fldCharType="begin"/>
          </w:r>
          <w:r>
            <w:instrText xml:space="preserve"> PAGEREF _Toc149307221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"_Toc149307222" </w:instrText>
          </w:r>
          <w:r>
            <w:fldChar w:fldCharType="separate"/>
          </w:r>
          <w:r>
            <w:rPr>
              <w:rStyle w:val="19"/>
              <w:rFonts w:hint="eastAsia" w:ascii="仿宋" w:hAnsi="仿宋" w:eastAsia="仿宋"/>
              <w:b/>
            </w:rPr>
            <w:t>（二）政府采购支出情况</w:t>
          </w:r>
          <w:r>
            <w:tab/>
          </w:r>
          <w:r>
            <w:fldChar w:fldCharType="begin"/>
          </w:r>
          <w:r>
            <w:instrText xml:space="preserve"> PAGEREF _Toc149307222 \h </w:instrText>
          </w:r>
          <w:r>
            <w:fldChar w:fldCharType="separate"/>
          </w:r>
          <w:r>
            <w:t>12</w:t>
          </w:r>
          <w:r>
            <w:fldChar w:fldCharType="end"/>
          </w:r>
          <w:r>
            <w:fldChar w:fldCharType="end"/>
          </w:r>
        </w:p>
        <w:p>
          <w:pPr>
            <w:pStyle w:val="9"/>
            <w:rPr>
              <w:rFonts w:asciiTheme="minorHAnsi" w:hAnsiTheme="minorHAnsi" w:eastAsiaTheme="minorEastAsia" w:cstheme="minorBidi"/>
              <w:szCs w:val="22"/>
            </w:rPr>
          </w:pPr>
          <w:r>
            <w:fldChar w:fldCharType="begin"/>
          </w:r>
          <w:r>
            <w:instrText xml:space="preserve"> HYPERLINK \l "_Toc149307223" </w:instrText>
          </w:r>
          <w:r>
            <w:fldChar w:fldCharType="separate"/>
          </w:r>
          <w:r>
            <w:rPr>
              <w:rStyle w:val="19"/>
              <w:rFonts w:hint="eastAsia" w:ascii="仿宋" w:hAnsi="仿宋" w:eastAsia="仿宋"/>
              <w:b/>
            </w:rPr>
            <w:t>（三）国有资产占有使用情况</w:t>
          </w:r>
          <w:r>
            <w:tab/>
          </w:r>
          <w:r>
            <w:fldChar w:fldCharType="begin"/>
          </w:r>
          <w:r>
            <w:instrText xml:space="preserve"> PAGEREF _Toc149307223 \h </w:instrText>
          </w:r>
          <w:r>
            <w:fldChar w:fldCharType="separate"/>
          </w:r>
          <w:r>
            <w:t>12</w:t>
          </w:r>
          <w:r>
            <w:fldChar w:fldCharType="end"/>
          </w:r>
          <w:r>
            <w:fldChar w:fldCharType="end"/>
          </w:r>
        </w:p>
        <w:p>
          <w:pPr>
            <w:pStyle w:val="14"/>
            <w:rPr>
              <w:rFonts w:asciiTheme="minorHAnsi" w:hAnsiTheme="minorHAnsi" w:eastAsiaTheme="minorEastAsia" w:cstheme="minorBidi"/>
              <w:sz w:val="21"/>
              <w:szCs w:val="22"/>
            </w:rPr>
          </w:pPr>
          <w:r>
            <w:fldChar w:fldCharType="begin"/>
          </w:r>
          <w:r>
            <w:instrText xml:space="preserve"> HYPERLINK \l "_Toc149307224" </w:instrText>
          </w:r>
          <w:r>
            <w:fldChar w:fldCharType="separate"/>
          </w:r>
          <w:r>
            <w:rPr>
              <w:rStyle w:val="19"/>
              <w:rFonts w:hint="eastAsia" w:ascii="黑体" w:hAnsi="黑体" w:eastAsia="黑体" w:cs="黑体"/>
              <w:bCs/>
              <w:kern w:val="44"/>
            </w:rPr>
            <w:t>第三部分</w:t>
          </w:r>
          <w:r>
            <w:rPr>
              <w:rStyle w:val="19"/>
              <w:rFonts w:hint="eastAsia" w:ascii="黑体" w:hAnsi="黑体" w:eastAsia="黑体"/>
            </w:rPr>
            <w:t xml:space="preserve"> 名</w:t>
          </w:r>
          <w:r>
            <w:rPr>
              <w:rStyle w:val="19"/>
              <w:rFonts w:hint="eastAsia" w:ascii="黑体" w:hAnsi="黑体" w:eastAsia="黑体"/>
              <w:bCs/>
              <w:kern w:val="44"/>
            </w:rPr>
            <w:t>词解释</w:t>
          </w:r>
          <w:r>
            <w:tab/>
          </w:r>
          <w:r>
            <w:fldChar w:fldCharType="begin"/>
          </w:r>
          <w:r>
            <w:instrText xml:space="preserve"> PAGEREF _Toc149307224 \h </w:instrText>
          </w:r>
          <w:r>
            <w:fldChar w:fldCharType="separate"/>
          </w:r>
          <w:r>
            <w:t>13</w:t>
          </w:r>
          <w:r>
            <w:fldChar w:fldCharType="end"/>
          </w:r>
          <w:r>
            <w:fldChar w:fldCharType="end"/>
          </w:r>
        </w:p>
        <w:p>
          <w:pPr>
            <w:pStyle w:val="14"/>
            <w:rPr>
              <w:rFonts w:asciiTheme="minorHAnsi" w:hAnsiTheme="minorHAnsi" w:eastAsiaTheme="minorEastAsia" w:cstheme="minorBidi"/>
              <w:sz w:val="21"/>
              <w:szCs w:val="22"/>
            </w:rPr>
          </w:pPr>
          <w:r>
            <w:fldChar w:fldCharType="begin"/>
          </w:r>
          <w:r>
            <w:instrText xml:space="preserve"> HYPERLINK \l "_Toc149307225" </w:instrText>
          </w:r>
          <w:r>
            <w:fldChar w:fldCharType="separate"/>
          </w:r>
          <w:r>
            <w:rPr>
              <w:rStyle w:val="19"/>
              <w:rFonts w:hint="eastAsia" w:ascii="黑体" w:hAnsi="黑体" w:eastAsia="黑体"/>
            </w:rPr>
            <w:t>第</w:t>
          </w:r>
          <w:r>
            <w:rPr>
              <w:rStyle w:val="19"/>
              <w:rFonts w:hint="eastAsia" w:ascii="黑体" w:hAnsi="黑体" w:eastAsia="黑体"/>
              <w:bCs/>
              <w:kern w:val="44"/>
            </w:rPr>
            <w:t>四部分</w:t>
          </w:r>
          <w:r>
            <w:rPr>
              <w:rStyle w:val="19"/>
              <w:rFonts w:ascii="黑体" w:hAnsi="黑体" w:eastAsia="黑体"/>
              <w:bCs/>
              <w:kern w:val="44"/>
            </w:rPr>
            <w:t xml:space="preserve"> </w:t>
          </w:r>
          <w:r>
            <w:rPr>
              <w:rStyle w:val="19"/>
              <w:rFonts w:hint="eastAsia" w:ascii="黑体" w:hAnsi="黑体" w:eastAsia="黑体"/>
              <w:bCs/>
              <w:kern w:val="44"/>
            </w:rPr>
            <w:t>附表</w:t>
          </w:r>
          <w:r>
            <w:tab/>
          </w:r>
          <w:r>
            <w:fldChar w:fldCharType="begin"/>
          </w:r>
          <w:r>
            <w:instrText xml:space="preserve"> PAGEREF _Toc149307225 \h </w:instrText>
          </w:r>
          <w:r>
            <w:fldChar w:fldCharType="separate"/>
          </w:r>
          <w:r>
            <w:t>15</w:t>
          </w:r>
          <w:r>
            <w:fldChar w:fldCharType="end"/>
          </w:r>
          <w:r>
            <w:fldChar w:fldCharType="end"/>
          </w:r>
        </w:p>
        <w:p>
          <w:r>
            <w:rPr>
              <w:b/>
              <w:bCs/>
              <w:lang w:val="zh-CN"/>
            </w:rPr>
            <w:fldChar w:fldCharType="end"/>
          </w:r>
        </w:p>
      </w:sdtContent>
    </w:sdt>
    <w:p>
      <w:bookmarkStart w:id="20" w:name="_Toc149307199"/>
    </w:p>
    <w:p>
      <w:pPr>
        <w:pStyle w:val="2"/>
      </w:pPr>
    </w:p>
    <w:p>
      <w:pPr>
        <w:pStyle w:val="4"/>
        <w:spacing w:before="93"/>
        <w:ind w:firstLine="0" w:firstLineChars="0"/>
      </w:pPr>
    </w:p>
    <w:p>
      <w:pPr>
        <w:pStyle w:val="6"/>
        <w:jc w:val="center"/>
        <w:rPr>
          <w:rFonts w:ascii="黑体" w:hAnsi="黑体" w:eastAsia="黑体"/>
          <w:bCs w:val="0"/>
        </w:rPr>
      </w:pPr>
      <w:r>
        <w:rPr>
          <w:rFonts w:hint="eastAsia" w:ascii="黑体" w:hAnsi="黑体" w:eastAsia="黑体"/>
          <w:b w:val="0"/>
        </w:rPr>
        <w:t>第一部分 单位</w:t>
      </w:r>
      <w:r>
        <w:rPr>
          <w:rStyle w:val="28"/>
          <w:rFonts w:hint="eastAsia" w:ascii="黑体" w:hAnsi="黑体" w:eastAsia="黑体"/>
          <w:b w:val="0"/>
          <w:bCs w:val="0"/>
        </w:rPr>
        <w:t>概况</w:t>
      </w:r>
      <w:bookmarkEnd w:id="18"/>
      <w:bookmarkEnd w:id="19"/>
      <w:bookmarkEnd w:id="20"/>
    </w:p>
    <w:p>
      <w:pPr>
        <w:pStyle w:val="7"/>
        <w:numPr>
          <w:ilvl w:val="0"/>
          <w:numId w:val="1"/>
        </w:numPr>
        <w:rPr>
          <w:rStyle w:val="29"/>
          <w:rFonts w:ascii="黑体" w:hAnsi="黑体" w:eastAsia="黑体"/>
          <w:b w:val="0"/>
          <w:bCs w:val="0"/>
        </w:rPr>
      </w:pPr>
      <w:bookmarkStart w:id="21" w:name="_Toc149307200"/>
      <w:bookmarkStart w:id="22" w:name="_Toc15396600"/>
      <w:bookmarkStart w:id="23" w:name="_Toc15377197"/>
      <w:r>
        <w:rPr>
          <w:rStyle w:val="29"/>
          <w:rFonts w:hint="eastAsia" w:ascii="黑体" w:hAnsi="黑体" w:eastAsia="黑体"/>
          <w:b w:val="0"/>
          <w:bCs w:val="0"/>
        </w:rPr>
        <w:t>主要职责</w:t>
      </w:r>
      <w:bookmarkEnd w:id="21"/>
    </w:p>
    <w:p>
      <w:pPr>
        <w:pStyle w:val="10"/>
        <w:ind w:firstLine="640" w:firstLineChars="200"/>
        <w:jc w:val="left"/>
        <w:rPr>
          <w:rFonts w:ascii="仿宋" w:hAnsi="仿宋" w:eastAsia="仿宋" w:cs="Times New Roman"/>
          <w:b w:val="0"/>
          <w:szCs w:val="32"/>
        </w:rPr>
      </w:pPr>
      <w:r>
        <w:rPr>
          <w:rFonts w:hint="eastAsia" w:ascii="仿宋" w:hAnsi="仿宋" w:eastAsia="仿宋" w:cs="Times New Roman"/>
          <w:b w:val="0"/>
          <w:szCs w:val="32"/>
        </w:rPr>
        <w:t>剑阁县东宝镇卫生院辖区服务人口1.3万余人，医院的职能主要是为人民身体健康提供医疗与预防保健服务，经过几代人的努力，现已发展成为一所集医疗、预防、保健为一体的综合性卫生院，是辖区的医疗技术指导中心、急救中心，担负了全辖区内人民的诊疗和疑难危重病人的救护工作。</w:t>
      </w:r>
    </w:p>
    <w:p>
      <w:pPr>
        <w:pStyle w:val="7"/>
        <w:numPr>
          <w:ilvl w:val="0"/>
          <w:numId w:val="1"/>
        </w:numPr>
        <w:rPr>
          <w:rFonts w:ascii="黑体" w:hAnsi="黑体" w:eastAsia="黑体"/>
          <w:b w:val="0"/>
        </w:rPr>
      </w:pPr>
      <w:bookmarkStart w:id="24" w:name="_Toc149307201"/>
      <w:r>
        <w:rPr>
          <w:rFonts w:hint="eastAsia" w:ascii="黑体" w:hAnsi="黑体" w:eastAsia="黑体"/>
          <w:b w:val="0"/>
        </w:rPr>
        <w:t>机构设置</w:t>
      </w:r>
      <w:bookmarkEnd w:id="24"/>
    </w:p>
    <w:p>
      <w:pPr>
        <w:ind w:firstLine="640" w:firstLineChars="200"/>
        <w:rPr>
          <w:rFonts w:ascii="仿宋" w:hAnsi="仿宋" w:eastAsia="仿宋"/>
          <w:sz w:val="32"/>
          <w:szCs w:val="32"/>
        </w:rPr>
      </w:pPr>
      <w:r>
        <w:rPr>
          <w:rFonts w:hint="eastAsia" w:ascii="仿宋" w:hAnsi="仿宋" w:eastAsia="仿宋"/>
          <w:sz w:val="32"/>
          <w:szCs w:val="32"/>
        </w:rPr>
        <w:t>（一）、临床科室</w:t>
      </w:r>
    </w:p>
    <w:p>
      <w:pPr>
        <w:ind w:firstLine="640" w:firstLineChars="200"/>
        <w:rPr>
          <w:rFonts w:ascii="仿宋" w:hAnsi="仿宋" w:eastAsia="仿宋"/>
          <w:sz w:val="32"/>
          <w:szCs w:val="32"/>
        </w:rPr>
      </w:pPr>
      <w:r>
        <w:rPr>
          <w:rFonts w:hint="eastAsia" w:ascii="仿宋" w:hAnsi="仿宋" w:eastAsia="仿宋"/>
          <w:sz w:val="32"/>
          <w:szCs w:val="32"/>
        </w:rPr>
        <w:t>1. 科室设置原则</w:t>
      </w:r>
      <w:r>
        <w:rPr>
          <w:rFonts w:hint="eastAsia" w:ascii="仿宋" w:hAnsi="仿宋" w:eastAsia="仿宋"/>
          <w:sz w:val="32"/>
          <w:szCs w:val="32"/>
        </w:rPr>
        <w:br w:type="textWrapping"/>
      </w:r>
      <w:r>
        <w:rPr>
          <w:rFonts w:hint="eastAsia" w:ascii="仿宋" w:hAnsi="仿宋" w:eastAsia="仿宋"/>
          <w:sz w:val="32"/>
          <w:szCs w:val="32"/>
        </w:rPr>
        <w:t>我院的临床科室设置遵循资源利用、功能覆盖和需求满足的原则，既满足基本医疗需求，又充分考虑当地疾病谱特点。</w:t>
      </w:r>
    </w:p>
    <w:p>
      <w:pPr>
        <w:ind w:firstLine="640" w:firstLineChars="200"/>
        <w:rPr>
          <w:rFonts w:ascii="仿宋" w:hAnsi="仿宋" w:eastAsia="仿宋"/>
          <w:sz w:val="32"/>
          <w:szCs w:val="32"/>
        </w:rPr>
      </w:pPr>
      <w:r>
        <w:rPr>
          <w:rFonts w:hint="eastAsia" w:ascii="仿宋" w:hAnsi="仿宋" w:eastAsia="仿宋"/>
          <w:sz w:val="32"/>
          <w:szCs w:val="32"/>
        </w:rPr>
        <w:t>2. 临床科室的职责与功能</w:t>
      </w:r>
      <w:r>
        <w:rPr>
          <w:rFonts w:hint="eastAsia" w:ascii="仿宋" w:hAnsi="仿宋" w:eastAsia="仿宋"/>
          <w:sz w:val="32"/>
          <w:szCs w:val="32"/>
        </w:rPr>
        <w:br w:type="textWrapping"/>
      </w:r>
      <w:r>
        <w:rPr>
          <w:rFonts w:hint="eastAsia" w:ascii="仿宋" w:hAnsi="仿宋" w:eastAsia="仿宋"/>
          <w:sz w:val="32"/>
          <w:szCs w:val="32"/>
        </w:rPr>
        <w:t>临床科室的主要职责是提供医疗服务，包括内科、外科、妇产科、儿科、急诊科、中医科、口腔科等。各科室具备相应的诊疗设备和诊疗技术，能够独立开展基本的医疗活动。</w:t>
      </w:r>
    </w:p>
    <w:p>
      <w:pPr>
        <w:ind w:firstLine="640" w:firstLineChars="200"/>
        <w:rPr>
          <w:rFonts w:ascii="仿宋" w:hAnsi="仿宋" w:eastAsia="仿宋"/>
          <w:sz w:val="32"/>
          <w:szCs w:val="32"/>
        </w:rPr>
      </w:pPr>
      <w:r>
        <w:rPr>
          <w:rFonts w:hint="eastAsia" w:ascii="仿宋" w:hAnsi="仿宋" w:eastAsia="仿宋"/>
          <w:sz w:val="32"/>
          <w:szCs w:val="32"/>
        </w:rPr>
        <w:t>3. 临床科室的设置数量</w:t>
      </w:r>
    </w:p>
    <w:p>
      <w:pPr>
        <w:ind w:firstLine="640" w:firstLineChars="200"/>
        <w:rPr>
          <w:rFonts w:ascii="仿宋" w:hAnsi="仿宋" w:eastAsia="仿宋"/>
          <w:sz w:val="32"/>
          <w:szCs w:val="32"/>
        </w:rPr>
      </w:pPr>
      <w:r>
        <w:rPr>
          <w:rFonts w:hint="eastAsia" w:ascii="仿宋" w:hAnsi="仿宋" w:eastAsia="仿宋"/>
          <w:sz w:val="32"/>
          <w:szCs w:val="32"/>
        </w:rPr>
        <w:t>我院的临床科室设置数量根据当地医疗需求和卫生院规模来确定的。设置有内科、外科、妇产科、儿科、急诊科和中医科、口腔科等基本科室。</w:t>
      </w:r>
    </w:p>
    <w:p>
      <w:pPr>
        <w:ind w:firstLine="640" w:firstLineChars="200"/>
        <w:rPr>
          <w:rFonts w:ascii="仿宋" w:hAnsi="仿宋" w:eastAsia="仿宋"/>
          <w:sz w:val="32"/>
          <w:szCs w:val="32"/>
        </w:rPr>
      </w:pPr>
      <w:r>
        <w:rPr>
          <w:rFonts w:hint="eastAsia" w:ascii="仿宋" w:hAnsi="仿宋" w:eastAsia="仿宋"/>
          <w:sz w:val="32"/>
          <w:szCs w:val="32"/>
        </w:rPr>
        <w:t>（二）、医技科室</w:t>
      </w:r>
    </w:p>
    <w:p>
      <w:pPr>
        <w:ind w:firstLine="640" w:firstLineChars="200"/>
        <w:rPr>
          <w:rFonts w:ascii="仿宋" w:hAnsi="仿宋" w:eastAsia="仿宋"/>
          <w:sz w:val="32"/>
          <w:szCs w:val="32"/>
        </w:rPr>
      </w:pPr>
      <w:r>
        <w:rPr>
          <w:rFonts w:hint="eastAsia" w:ascii="仿宋" w:hAnsi="仿宋" w:eastAsia="仿宋"/>
          <w:sz w:val="32"/>
          <w:szCs w:val="32"/>
        </w:rPr>
        <w:t>1. 科室设置原则</w:t>
      </w:r>
    </w:p>
    <w:p>
      <w:pPr>
        <w:ind w:firstLine="640" w:firstLineChars="200"/>
        <w:rPr>
          <w:rFonts w:ascii="仿宋" w:hAnsi="仿宋" w:eastAsia="仿宋"/>
          <w:sz w:val="32"/>
          <w:szCs w:val="32"/>
        </w:rPr>
      </w:pPr>
      <w:r>
        <w:rPr>
          <w:rFonts w:hint="eastAsia" w:ascii="仿宋" w:hAnsi="仿宋" w:eastAsia="仿宋"/>
          <w:sz w:val="32"/>
          <w:szCs w:val="32"/>
        </w:rPr>
        <w:t>医技科室的设置以满足医疗需求为前提，充分考虑技术进步和卫生院发展的需要，同时注重资源共享和成本效益。</w:t>
      </w:r>
    </w:p>
    <w:p>
      <w:pPr>
        <w:ind w:firstLine="640" w:firstLineChars="200"/>
        <w:rPr>
          <w:rFonts w:ascii="仿宋" w:hAnsi="仿宋" w:eastAsia="仿宋"/>
          <w:sz w:val="32"/>
          <w:szCs w:val="32"/>
        </w:rPr>
      </w:pPr>
      <w:r>
        <w:rPr>
          <w:rFonts w:hint="eastAsia" w:ascii="仿宋" w:hAnsi="仿宋" w:eastAsia="仿宋"/>
          <w:sz w:val="32"/>
          <w:szCs w:val="32"/>
        </w:rPr>
        <w:t>2. 医技科室的职责与功能</w:t>
      </w:r>
    </w:p>
    <w:p>
      <w:pPr>
        <w:ind w:firstLine="640" w:firstLineChars="200"/>
        <w:rPr>
          <w:rFonts w:ascii="仿宋" w:hAnsi="仿宋" w:eastAsia="仿宋"/>
          <w:sz w:val="32"/>
          <w:szCs w:val="32"/>
        </w:rPr>
      </w:pPr>
      <w:r>
        <w:rPr>
          <w:rFonts w:hint="eastAsia" w:ascii="仿宋" w:hAnsi="仿宋" w:eastAsia="仿宋"/>
          <w:sz w:val="32"/>
          <w:szCs w:val="32"/>
        </w:rPr>
        <w:t>医技科室主要包括检验科、影像科、B超室、心电图室、手术室、药剂科等，负责提供医疗技术支持和服务。各科室配备相应的医疗设备，具备相应的技术水平和专业能力，满足临床需求。</w:t>
      </w:r>
    </w:p>
    <w:p>
      <w:pPr>
        <w:ind w:firstLine="640" w:firstLineChars="200"/>
        <w:rPr>
          <w:rFonts w:ascii="仿宋" w:hAnsi="仿宋" w:eastAsia="仿宋"/>
          <w:sz w:val="32"/>
          <w:szCs w:val="32"/>
        </w:rPr>
      </w:pPr>
      <w:r>
        <w:rPr>
          <w:rFonts w:hint="eastAsia" w:ascii="仿宋" w:hAnsi="仿宋" w:eastAsia="仿宋"/>
          <w:sz w:val="32"/>
          <w:szCs w:val="32"/>
        </w:rPr>
        <w:t>3. 医技科室的设置数量</w:t>
      </w:r>
    </w:p>
    <w:p>
      <w:pPr>
        <w:ind w:firstLine="640" w:firstLineChars="200"/>
        <w:rPr>
          <w:rFonts w:ascii="仿宋" w:hAnsi="仿宋" w:eastAsia="仿宋"/>
          <w:sz w:val="32"/>
          <w:szCs w:val="32"/>
        </w:rPr>
      </w:pPr>
      <w:r>
        <w:rPr>
          <w:rFonts w:hint="eastAsia" w:ascii="仿宋" w:hAnsi="仿宋" w:eastAsia="仿宋"/>
          <w:sz w:val="32"/>
          <w:szCs w:val="32"/>
        </w:rPr>
        <w:t>我院的医技科室设置数量根据卫生院规模和当地医疗需求来确定。设置检验科、影像科、B超室和心电图室、手术室、药剂科等基本科室。</w:t>
      </w:r>
      <w:r>
        <w:rPr>
          <w:rFonts w:hint="eastAsia" w:ascii="仿宋" w:hAnsi="仿宋" w:eastAsia="仿宋"/>
          <w:sz w:val="32"/>
          <w:szCs w:val="32"/>
        </w:rPr>
        <w:br w:type="textWrapping"/>
      </w:r>
      <w:r>
        <w:rPr>
          <w:rFonts w:hint="eastAsia" w:ascii="仿宋" w:hAnsi="仿宋" w:eastAsia="仿宋"/>
          <w:sz w:val="32"/>
          <w:szCs w:val="32"/>
        </w:rPr>
        <w:t xml:space="preserve">   （三）、行政科室</w:t>
      </w:r>
    </w:p>
    <w:p>
      <w:pPr>
        <w:ind w:firstLine="640" w:firstLineChars="200"/>
        <w:rPr>
          <w:rFonts w:ascii="仿宋" w:hAnsi="仿宋" w:eastAsia="仿宋"/>
          <w:sz w:val="32"/>
          <w:szCs w:val="32"/>
        </w:rPr>
      </w:pPr>
      <w:r>
        <w:rPr>
          <w:rFonts w:hint="eastAsia" w:ascii="仿宋" w:hAnsi="仿宋" w:eastAsia="仿宋"/>
          <w:sz w:val="32"/>
          <w:szCs w:val="32"/>
        </w:rPr>
        <w:t>1. 科室设置原则</w:t>
      </w:r>
    </w:p>
    <w:p>
      <w:pPr>
        <w:ind w:firstLine="640" w:firstLineChars="200"/>
        <w:rPr>
          <w:rFonts w:ascii="仿宋" w:hAnsi="仿宋" w:eastAsia="仿宋"/>
          <w:sz w:val="32"/>
          <w:szCs w:val="32"/>
        </w:rPr>
      </w:pPr>
      <w:r>
        <w:rPr>
          <w:rFonts w:hint="eastAsia" w:ascii="仿宋" w:hAnsi="仿宋" w:eastAsia="仿宋"/>
          <w:sz w:val="32"/>
          <w:szCs w:val="32"/>
        </w:rPr>
        <w:t>行政科室的设置以高效管理和服务为宗旨，按照精简、效能和规范的原则进行配置，适应卫生院日常管理和业务发展的需要。</w:t>
      </w:r>
    </w:p>
    <w:p>
      <w:pPr>
        <w:ind w:firstLine="640" w:firstLineChars="200"/>
        <w:rPr>
          <w:rFonts w:ascii="仿宋" w:hAnsi="仿宋" w:eastAsia="仿宋"/>
          <w:sz w:val="32"/>
          <w:szCs w:val="32"/>
        </w:rPr>
      </w:pPr>
      <w:r>
        <w:rPr>
          <w:rFonts w:hint="eastAsia" w:ascii="仿宋" w:hAnsi="仿宋" w:eastAsia="仿宋"/>
          <w:sz w:val="32"/>
          <w:szCs w:val="32"/>
        </w:rPr>
        <w:t>2. 行政科室的职责与功能</w:t>
      </w:r>
    </w:p>
    <w:p>
      <w:pPr>
        <w:ind w:firstLine="640" w:firstLineChars="200"/>
        <w:rPr>
          <w:rFonts w:ascii="仿宋" w:hAnsi="仿宋" w:eastAsia="仿宋"/>
          <w:sz w:val="32"/>
          <w:szCs w:val="32"/>
        </w:rPr>
      </w:pPr>
      <w:r>
        <w:rPr>
          <w:rFonts w:hint="eastAsia" w:ascii="仿宋" w:hAnsi="仿宋" w:eastAsia="仿宋"/>
          <w:sz w:val="32"/>
          <w:szCs w:val="32"/>
        </w:rPr>
        <w:t>行政科室主要包括办公室、财务科、医务科、护理部、后勤部等，负责卫生院的行政事务、财务管理、医疗管理、护理管理和后勤保障等工作。</w:t>
      </w:r>
    </w:p>
    <w:p>
      <w:pPr>
        <w:ind w:firstLine="640" w:firstLineChars="200"/>
        <w:rPr>
          <w:rFonts w:ascii="仿宋" w:hAnsi="仿宋" w:eastAsia="仿宋"/>
          <w:sz w:val="32"/>
          <w:szCs w:val="32"/>
        </w:rPr>
      </w:pPr>
      <w:r>
        <w:rPr>
          <w:rFonts w:hint="eastAsia" w:ascii="仿宋" w:hAnsi="仿宋" w:eastAsia="仿宋"/>
          <w:sz w:val="32"/>
          <w:szCs w:val="32"/>
        </w:rPr>
        <w:t>3. 行政科室的设置数量</w:t>
      </w:r>
    </w:p>
    <w:p>
      <w:pPr>
        <w:ind w:firstLine="640" w:firstLineChars="200"/>
        <w:rPr>
          <w:rFonts w:ascii="仿宋" w:hAnsi="仿宋" w:eastAsia="仿宋"/>
          <w:sz w:val="32"/>
          <w:szCs w:val="32"/>
        </w:rPr>
      </w:pPr>
      <w:r>
        <w:rPr>
          <w:rFonts w:hint="eastAsia" w:ascii="仿宋" w:hAnsi="仿宋" w:eastAsia="仿宋"/>
          <w:sz w:val="32"/>
          <w:szCs w:val="32"/>
        </w:rPr>
        <w:t>我院的行政科室设置数量根据卫生院规模和实际需要进行配置。设置办公室、财务科和医务科、护理部、后勤部等基本科室。</w:t>
      </w:r>
    </w:p>
    <w:p>
      <w:pPr>
        <w:ind w:firstLine="640" w:firstLineChars="200"/>
        <w:rPr>
          <w:rFonts w:ascii="仿宋" w:hAnsi="仿宋" w:eastAsia="仿宋"/>
          <w:sz w:val="32"/>
          <w:szCs w:val="32"/>
        </w:rPr>
      </w:pPr>
      <w:r>
        <w:rPr>
          <w:rFonts w:hint="eastAsia" w:ascii="仿宋" w:hAnsi="仿宋" w:eastAsia="仿宋"/>
          <w:sz w:val="32"/>
          <w:szCs w:val="32"/>
        </w:rPr>
        <w:t>（四）、药房</w:t>
      </w:r>
    </w:p>
    <w:p>
      <w:pPr>
        <w:ind w:firstLine="640" w:firstLineChars="200"/>
        <w:rPr>
          <w:rFonts w:ascii="仿宋" w:hAnsi="仿宋" w:eastAsia="仿宋"/>
          <w:sz w:val="32"/>
          <w:szCs w:val="32"/>
        </w:rPr>
      </w:pPr>
      <w:r>
        <w:rPr>
          <w:rFonts w:hint="eastAsia" w:ascii="仿宋" w:hAnsi="仿宋" w:eastAsia="仿宋"/>
          <w:sz w:val="32"/>
          <w:szCs w:val="32"/>
        </w:rPr>
        <w:t>1. 科室设置原则</w:t>
      </w:r>
    </w:p>
    <w:p>
      <w:pPr>
        <w:ind w:firstLine="640" w:firstLineChars="200"/>
        <w:rPr>
          <w:rFonts w:ascii="仿宋" w:hAnsi="仿宋" w:eastAsia="仿宋"/>
          <w:sz w:val="32"/>
          <w:szCs w:val="32"/>
        </w:rPr>
      </w:pPr>
      <w:r>
        <w:rPr>
          <w:rFonts w:hint="eastAsia" w:ascii="仿宋" w:hAnsi="仿宋" w:eastAsia="仿宋"/>
          <w:sz w:val="32"/>
          <w:szCs w:val="32"/>
        </w:rPr>
        <w:t>药房是乡镇卫生院的重要组成部分，其设置遵循安全、规范、便捷的原则，满足药品管理和医疗服务的需求。</w:t>
      </w:r>
    </w:p>
    <w:p>
      <w:pPr>
        <w:ind w:firstLine="640" w:firstLineChars="200"/>
        <w:rPr>
          <w:rFonts w:ascii="仿宋" w:hAnsi="仿宋" w:eastAsia="仿宋"/>
          <w:sz w:val="32"/>
          <w:szCs w:val="32"/>
        </w:rPr>
      </w:pPr>
      <w:r>
        <w:rPr>
          <w:rFonts w:hint="eastAsia" w:ascii="仿宋" w:hAnsi="仿宋" w:eastAsia="仿宋"/>
          <w:sz w:val="32"/>
          <w:szCs w:val="32"/>
        </w:rPr>
        <w:t>2. 药房的职责与功能</w:t>
      </w:r>
    </w:p>
    <w:p>
      <w:pPr>
        <w:ind w:firstLine="640" w:firstLineChars="200"/>
        <w:rPr>
          <w:rFonts w:ascii="仿宋" w:hAnsi="仿宋" w:eastAsia="仿宋"/>
          <w:sz w:val="32"/>
          <w:szCs w:val="32"/>
        </w:rPr>
      </w:pPr>
      <w:r>
        <w:rPr>
          <w:rFonts w:hint="eastAsia" w:ascii="仿宋" w:hAnsi="仿宋" w:eastAsia="仿宋"/>
          <w:sz w:val="32"/>
          <w:szCs w:val="32"/>
        </w:rPr>
        <w:t>药房的主要职责是提供药品保障和服务，包括药品的采购、储存、保管和发放等工作。药房具备相应的药品知识和技能，保障患者用药安全和有效。</w:t>
      </w:r>
    </w:p>
    <w:p>
      <w:pPr>
        <w:ind w:firstLine="640" w:firstLineChars="200"/>
        <w:rPr>
          <w:rFonts w:ascii="仿宋" w:hAnsi="仿宋" w:eastAsia="仿宋"/>
          <w:sz w:val="32"/>
          <w:szCs w:val="32"/>
        </w:rPr>
      </w:pPr>
      <w:r>
        <w:rPr>
          <w:rFonts w:hint="eastAsia" w:ascii="仿宋" w:hAnsi="仿宋" w:eastAsia="仿宋"/>
          <w:sz w:val="32"/>
          <w:szCs w:val="32"/>
        </w:rPr>
        <w:t>3. 药房的设置数量</w:t>
      </w:r>
    </w:p>
    <w:p>
      <w:pPr>
        <w:ind w:firstLine="640" w:firstLineChars="200"/>
        <w:rPr>
          <w:rFonts w:ascii="仿宋" w:hAnsi="仿宋" w:eastAsia="仿宋"/>
          <w:sz w:val="32"/>
          <w:szCs w:val="32"/>
        </w:rPr>
      </w:pPr>
      <w:r>
        <w:rPr>
          <w:rFonts w:hint="eastAsia" w:ascii="仿宋" w:hAnsi="仿宋" w:eastAsia="仿宋"/>
          <w:sz w:val="32"/>
          <w:szCs w:val="32"/>
        </w:rPr>
        <w:t>我院的药房设置数量根据卫生院规模和当地医疗需求来确定。设置有中、西药药房。</w:t>
      </w:r>
    </w:p>
    <w:p>
      <w:pPr>
        <w:ind w:firstLine="640" w:firstLineChars="200"/>
        <w:rPr>
          <w:rFonts w:ascii="仿宋" w:hAnsi="仿宋" w:eastAsia="仿宋"/>
          <w:sz w:val="32"/>
          <w:szCs w:val="32"/>
        </w:rPr>
      </w:pPr>
      <w:r>
        <w:rPr>
          <w:rFonts w:hint="eastAsia" w:ascii="仿宋" w:hAnsi="仿宋" w:eastAsia="仿宋"/>
          <w:sz w:val="32"/>
          <w:szCs w:val="32"/>
        </w:rPr>
        <w:t>（五）、护理单元</w:t>
      </w:r>
    </w:p>
    <w:p>
      <w:pPr>
        <w:ind w:firstLine="640" w:firstLineChars="200"/>
        <w:rPr>
          <w:rFonts w:ascii="仿宋" w:hAnsi="仿宋" w:eastAsia="仿宋"/>
          <w:sz w:val="32"/>
          <w:szCs w:val="32"/>
        </w:rPr>
      </w:pPr>
      <w:r>
        <w:rPr>
          <w:rFonts w:hint="eastAsia" w:ascii="仿宋" w:hAnsi="仿宋" w:eastAsia="仿宋"/>
          <w:sz w:val="32"/>
          <w:szCs w:val="32"/>
        </w:rPr>
        <w:t>1. 科室设置原则</w:t>
      </w:r>
    </w:p>
    <w:p>
      <w:pPr>
        <w:ind w:firstLine="640" w:firstLineChars="200"/>
        <w:rPr>
          <w:rFonts w:ascii="仿宋" w:hAnsi="仿宋" w:eastAsia="仿宋"/>
          <w:sz w:val="32"/>
          <w:szCs w:val="32"/>
        </w:rPr>
      </w:pPr>
      <w:r>
        <w:rPr>
          <w:rFonts w:hint="eastAsia" w:ascii="仿宋" w:hAnsi="仿宋" w:eastAsia="仿宋"/>
          <w:sz w:val="32"/>
          <w:szCs w:val="32"/>
        </w:rPr>
        <w:t>护理单元是乡镇卫生院的重要组成部分，其设置遵循安全、规范、专业的原则，满足医疗护理的需求。</w:t>
      </w:r>
    </w:p>
    <w:p>
      <w:pPr>
        <w:ind w:firstLine="640" w:firstLineChars="200"/>
        <w:rPr>
          <w:rFonts w:ascii="仿宋" w:hAnsi="仿宋" w:eastAsia="仿宋"/>
          <w:sz w:val="32"/>
          <w:szCs w:val="32"/>
        </w:rPr>
      </w:pPr>
      <w:r>
        <w:rPr>
          <w:rFonts w:hint="eastAsia" w:ascii="仿宋" w:hAnsi="仿宋" w:eastAsia="仿宋"/>
          <w:sz w:val="32"/>
          <w:szCs w:val="32"/>
        </w:rPr>
        <w:t>2. 护理单元的职责与功能</w:t>
      </w:r>
    </w:p>
    <w:p>
      <w:pPr>
        <w:ind w:firstLine="640" w:firstLineChars="200"/>
        <w:rPr>
          <w:rFonts w:ascii="仿宋" w:hAnsi="仿宋" w:eastAsia="仿宋"/>
          <w:sz w:val="32"/>
          <w:szCs w:val="32"/>
        </w:rPr>
      </w:pPr>
      <w:r>
        <w:rPr>
          <w:rFonts w:hint="eastAsia" w:ascii="仿宋" w:hAnsi="仿宋" w:eastAsia="仿宋"/>
          <w:sz w:val="32"/>
          <w:szCs w:val="32"/>
        </w:rPr>
        <w:t>护理单元的主要职责是提供优质的护理服务，包括患者接待、病情观察、护理操作、健康教育等工作。护理单元具备相应的护理知识和技能，能够独立完成各项护理任务。</w:t>
      </w:r>
    </w:p>
    <w:p>
      <w:pPr>
        <w:ind w:firstLine="640" w:firstLineChars="200"/>
        <w:rPr>
          <w:rFonts w:ascii="仿宋" w:hAnsi="仿宋" w:eastAsia="仿宋"/>
          <w:sz w:val="32"/>
          <w:szCs w:val="32"/>
        </w:rPr>
      </w:pPr>
      <w:r>
        <w:rPr>
          <w:rFonts w:hint="eastAsia" w:ascii="仿宋" w:hAnsi="仿宋" w:eastAsia="仿宋"/>
          <w:sz w:val="32"/>
          <w:szCs w:val="32"/>
        </w:rPr>
        <w:t>3. 护理单元的设置数量</w:t>
      </w:r>
    </w:p>
    <w:p>
      <w:pPr>
        <w:ind w:firstLine="640" w:firstLineChars="200"/>
        <w:rPr>
          <w:rFonts w:ascii="仿宋" w:hAnsi="仿宋" w:eastAsia="仿宋"/>
          <w:sz w:val="32"/>
          <w:szCs w:val="32"/>
        </w:rPr>
      </w:pPr>
      <w:r>
        <w:rPr>
          <w:rFonts w:hint="eastAsia" w:ascii="仿宋" w:hAnsi="仿宋" w:eastAsia="仿宋"/>
          <w:sz w:val="32"/>
          <w:szCs w:val="32"/>
        </w:rPr>
        <w:t>我院的护理单元设置数量根据卫生院规模和当地医疗需求来确定。设置一个护理单元。</w:t>
      </w:r>
    </w:p>
    <w:p>
      <w:pPr>
        <w:ind w:firstLine="640" w:firstLineChars="200"/>
        <w:rPr>
          <w:rFonts w:ascii="仿宋" w:hAnsi="仿宋" w:eastAsia="仿宋"/>
          <w:sz w:val="32"/>
          <w:szCs w:val="32"/>
        </w:rPr>
      </w:pPr>
      <w:r>
        <w:rPr>
          <w:rFonts w:hint="eastAsia" w:ascii="仿宋" w:hAnsi="仿宋" w:eastAsia="仿宋"/>
          <w:sz w:val="32"/>
          <w:szCs w:val="32"/>
        </w:rPr>
        <w:t>（六）、公共卫生科</w:t>
      </w:r>
    </w:p>
    <w:p>
      <w:pPr>
        <w:ind w:firstLine="640" w:firstLineChars="200"/>
        <w:rPr>
          <w:rFonts w:ascii="仿宋" w:hAnsi="仿宋" w:eastAsia="仿宋"/>
          <w:sz w:val="32"/>
          <w:szCs w:val="32"/>
        </w:rPr>
      </w:pPr>
      <w:r>
        <w:rPr>
          <w:rFonts w:hint="eastAsia" w:ascii="仿宋" w:hAnsi="仿宋" w:eastAsia="仿宋"/>
          <w:sz w:val="32"/>
          <w:szCs w:val="32"/>
        </w:rPr>
        <w:t>1. 科室设置原则</w:t>
      </w:r>
    </w:p>
    <w:p>
      <w:pPr>
        <w:ind w:firstLine="640" w:firstLineChars="200"/>
        <w:rPr>
          <w:rFonts w:ascii="仿宋" w:hAnsi="仿宋" w:eastAsia="仿宋"/>
          <w:sz w:val="32"/>
          <w:szCs w:val="32"/>
        </w:rPr>
      </w:pPr>
      <w:r>
        <w:rPr>
          <w:rFonts w:hint="eastAsia" w:ascii="仿宋" w:hAnsi="仿宋" w:eastAsia="仿宋"/>
          <w:sz w:val="32"/>
          <w:szCs w:val="32"/>
        </w:rPr>
        <w:t>公共卫生科的设置以保障公共卫生安全和提供基本医疗服务为宗旨，按照全面设置、突出重点的原则进行配置，适应卫生院业务发展和当地公共卫生工作的需要。</w:t>
      </w:r>
    </w:p>
    <w:p>
      <w:pPr>
        <w:ind w:firstLine="640" w:firstLineChars="200"/>
        <w:rPr>
          <w:rFonts w:ascii="仿宋" w:hAnsi="仿宋" w:eastAsia="仿宋"/>
          <w:sz w:val="32"/>
          <w:szCs w:val="32"/>
        </w:rPr>
      </w:pPr>
      <w:r>
        <w:rPr>
          <w:rFonts w:hint="eastAsia" w:ascii="仿宋" w:hAnsi="仿宋" w:eastAsia="仿宋"/>
          <w:sz w:val="32"/>
          <w:szCs w:val="32"/>
        </w:rPr>
        <w:t>2.公共卫生科的职责与功能公共卫生科的主要职责是开展疾病预防控制、健康教育、妇幼保健等工作，包括预防接种、传染病监测与控制、慢性病管理、孕产妇保健等。此外，公共卫生科还负责卫生监督协管工作，包括环境卫生、食品卫生等方面的监督和管理。</w:t>
      </w:r>
    </w:p>
    <w:p>
      <w:pPr>
        <w:ind w:firstLine="640" w:firstLineChars="200"/>
        <w:rPr>
          <w:rFonts w:ascii="仿宋" w:hAnsi="仿宋" w:eastAsia="仿宋"/>
          <w:sz w:val="32"/>
          <w:szCs w:val="32"/>
        </w:rPr>
      </w:pPr>
      <w:r>
        <w:rPr>
          <w:rFonts w:hint="eastAsia" w:ascii="仿宋" w:hAnsi="仿宋" w:eastAsia="仿宋"/>
          <w:sz w:val="32"/>
          <w:szCs w:val="32"/>
        </w:rPr>
        <w:t>（七）、乡村医生队伍</w:t>
      </w:r>
    </w:p>
    <w:p>
      <w:pPr>
        <w:ind w:firstLine="640" w:firstLineChars="200"/>
        <w:rPr>
          <w:rFonts w:asciiTheme="majorEastAsia" w:hAnsiTheme="majorEastAsia" w:eastAsiaTheme="majorEastAsia" w:cstheme="majorEastAsia"/>
          <w:sz w:val="28"/>
          <w:szCs w:val="28"/>
        </w:rPr>
      </w:pPr>
      <w:r>
        <w:rPr>
          <w:rFonts w:hint="eastAsia" w:ascii="仿宋" w:hAnsi="仿宋" w:eastAsia="仿宋"/>
          <w:sz w:val="32"/>
          <w:szCs w:val="32"/>
        </w:rPr>
        <w:t>乡镇卫生院作为农村基层医疗机构，需要充分发挥乡村医生的作用，为当地居民提供基本医疗和公共卫生服务。因此，乡村医生队伍的建设和管理也是乡镇卫生院工作的重要组成部分。</w:t>
      </w:r>
    </w:p>
    <w:bookmarkEnd w:id="22"/>
    <w:bookmarkEnd w:id="23"/>
    <w:p>
      <w:pPr>
        <w:widowControl/>
        <w:jc w:val="lef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sz w:val="28"/>
          <w:szCs w:val="28"/>
        </w:rPr>
        <w:br w:type="page"/>
      </w:r>
    </w:p>
    <w:p>
      <w:pPr>
        <w:pStyle w:val="6"/>
        <w:ind w:right="440"/>
        <w:jc w:val="center"/>
        <w:rPr>
          <w:rFonts w:ascii="黑体" w:hAnsi="黑体" w:eastAsia="黑体"/>
          <w:b w:val="0"/>
        </w:rPr>
      </w:pPr>
      <w:bookmarkStart w:id="25" w:name="_Toc15396602"/>
      <w:bookmarkStart w:id="26" w:name="_Toc15377204"/>
      <w:bookmarkStart w:id="27" w:name="_Toc149307202"/>
      <w:r>
        <w:rPr>
          <w:rFonts w:hint="eastAsia" w:ascii="黑体" w:hAnsi="黑体" w:eastAsia="黑体"/>
          <w:b w:val="0"/>
        </w:rPr>
        <w:t>第二部分 2022年度</w:t>
      </w:r>
      <w:r>
        <w:rPr>
          <w:rStyle w:val="28"/>
          <w:rFonts w:hint="eastAsia" w:ascii="黑体" w:hAnsi="黑体" w:eastAsia="黑体"/>
          <w:b w:val="0"/>
          <w:bCs/>
        </w:rPr>
        <w:t>单位决算情况说明</w:t>
      </w:r>
      <w:bookmarkEnd w:id="25"/>
      <w:bookmarkEnd w:id="26"/>
      <w:bookmarkEnd w:id="27"/>
    </w:p>
    <w:p>
      <w:pPr>
        <w:pStyle w:val="27"/>
        <w:numPr>
          <w:ilvl w:val="0"/>
          <w:numId w:val="2"/>
        </w:numPr>
        <w:spacing w:line="600" w:lineRule="exact"/>
        <w:ind w:firstLineChars="0"/>
        <w:outlineLvl w:val="1"/>
        <w:rPr>
          <w:rStyle w:val="29"/>
          <w:rFonts w:ascii="黑体" w:hAnsi="黑体" w:eastAsia="黑体"/>
          <w:b w:val="0"/>
        </w:rPr>
      </w:pPr>
      <w:bookmarkStart w:id="28" w:name="_Toc149307203"/>
      <w:bookmarkStart w:id="29" w:name="_Toc15377205"/>
      <w:bookmarkStart w:id="30"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8"/>
      <w:bookmarkEnd w:id="29"/>
      <w:bookmarkEnd w:id="30"/>
    </w:p>
    <w:p>
      <w:pPr>
        <w:pStyle w:val="10"/>
        <w:ind w:firstLine="643" w:firstLineChars="200"/>
        <w:rPr>
          <w:rFonts w:eastAsia="宋体"/>
        </w:rPr>
      </w:pPr>
      <w:r>
        <w:rPr>
          <w:rFonts w:hint="eastAsia" w:ascii="仿宋" w:hAnsi="仿宋" w:eastAsia="仿宋"/>
          <w:szCs w:val="32"/>
        </w:rPr>
        <w:t>2022年度收入、支出总计551.30万元，</w:t>
      </w:r>
      <w:r>
        <w:t>2021年本单位未单独填报决算，由系统统一填报部门决算，故无法对比</w:t>
      </w:r>
      <w:r>
        <w:rPr>
          <w:rFonts w:hint="eastAsia" w:ascii="仿宋_GB2312" w:hAnsi="仿宋_GB2312" w:cs="仿宋_GB2312"/>
          <w:szCs w:val="32"/>
        </w:rPr>
        <w:t>。</w:t>
      </w:r>
    </w:p>
    <w:p>
      <w:pPr>
        <w:pStyle w:val="27"/>
        <w:numPr>
          <w:ilvl w:val="0"/>
          <w:numId w:val="2"/>
        </w:numPr>
        <w:spacing w:line="600" w:lineRule="exact"/>
        <w:ind w:firstLineChars="0"/>
        <w:outlineLvl w:val="1"/>
        <w:rPr>
          <w:rStyle w:val="29"/>
          <w:rFonts w:ascii="黑体" w:hAnsi="黑体" w:eastAsia="黑体"/>
          <w:b w:val="0"/>
        </w:rPr>
      </w:pPr>
      <w:bookmarkStart w:id="31" w:name="_Toc149307204"/>
      <w:bookmarkStart w:id="32" w:name="_Toc15396604"/>
      <w:bookmarkStart w:id="33" w:name="_Toc15377206"/>
      <w:r>
        <w:rPr>
          <w:rFonts w:hint="eastAsia" w:ascii="黑体" w:hAnsi="黑体" w:eastAsia="黑体"/>
          <w:sz w:val="32"/>
          <w:szCs w:val="32"/>
        </w:rPr>
        <w:t>收</w:t>
      </w:r>
      <w:r>
        <w:rPr>
          <w:rStyle w:val="29"/>
          <w:rFonts w:hint="eastAsia" w:ascii="黑体" w:hAnsi="黑体" w:eastAsia="黑体"/>
          <w:b w:val="0"/>
        </w:rPr>
        <w:t>入决算情况说明</w:t>
      </w:r>
      <w:bookmarkEnd w:id="31"/>
      <w:bookmarkEnd w:id="32"/>
      <w:bookmarkEnd w:id="33"/>
    </w:p>
    <w:p>
      <w:pPr>
        <w:spacing w:line="600" w:lineRule="exact"/>
        <w:ind w:firstLine="640" w:firstLineChars="200"/>
        <w:outlineLvl w:val="1"/>
        <w:rPr>
          <w:rFonts w:ascii="仿宋" w:hAnsi="仿宋" w:eastAsia="仿宋"/>
          <w:sz w:val="32"/>
          <w:szCs w:val="32"/>
        </w:rPr>
      </w:pPr>
      <w:bookmarkStart w:id="34" w:name="_Toc147933323"/>
      <w:bookmarkStart w:id="35" w:name="_Toc149307205"/>
      <w:r>
        <w:rPr>
          <w:rFonts w:ascii="仿宋" w:hAnsi="仿宋" w:eastAsia="仿宋"/>
          <w:sz w:val="32"/>
          <w:szCs w:val="32"/>
        </w:rPr>
        <w:t>20</w:t>
      </w:r>
      <w:r>
        <w:rPr>
          <w:rFonts w:hint="eastAsia" w:ascii="仿宋" w:hAnsi="仿宋" w:eastAsia="仿宋"/>
          <w:sz w:val="32"/>
          <w:szCs w:val="32"/>
        </w:rPr>
        <w:t>22年本年收入合计551.30万元，其中：一般公共预算财政拨款收入191.39万元，占35</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；事业收入290.01万元，占53</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；其他收入69.90万元，占13</w:t>
      </w:r>
      <w:r>
        <w:rPr>
          <w:rFonts w:ascii="仿宋" w:hAnsi="仿宋" w:eastAsia="仿宋"/>
          <w:sz w:val="32"/>
          <w:szCs w:val="32"/>
        </w:rPr>
        <w:t>%</w:t>
      </w:r>
      <w:r>
        <w:rPr>
          <w:rFonts w:hint="eastAsia" w:ascii="仿宋" w:hAnsi="仿宋" w:eastAsia="仿宋"/>
          <w:sz w:val="32"/>
          <w:szCs w:val="32"/>
        </w:rPr>
        <w:t>。</w:t>
      </w:r>
      <w:bookmarkEnd w:id="34"/>
      <w:bookmarkEnd w:id="35"/>
    </w:p>
    <w:p>
      <w:pPr>
        <w:pStyle w:val="2"/>
        <w:rPr>
          <w:rFonts w:ascii="仿宋_GB2312" w:eastAsia="仿宋_GB2312"/>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2"/>
        </w:numPr>
        <w:spacing w:line="600" w:lineRule="exact"/>
        <w:ind w:firstLineChars="0"/>
        <w:outlineLvl w:val="1"/>
        <w:rPr>
          <w:rStyle w:val="29"/>
          <w:rFonts w:ascii="黑体" w:hAnsi="黑体" w:eastAsia="黑体"/>
          <w:b w:val="0"/>
        </w:rPr>
      </w:pPr>
      <w:bookmarkStart w:id="36" w:name="_Toc15396605"/>
      <w:bookmarkStart w:id="37" w:name="_Toc15377207"/>
      <w:bookmarkStart w:id="38" w:name="_Toc147933324"/>
      <w:bookmarkStart w:id="39" w:name="_Toc149307206"/>
      <w:r>
        <w:rPr>
          <w:rFonts w:hint="eastAsia" w:ascii="黑体" w:hAnsi="黑体" w:eastAsia="黑体"/>
          <w:sz w:val="32"/>
          <w:szCs w:val="32"/>
        </w:rPr>
        <w:t>支</w:t>
      </w:r>
      <w:r>
        <w:rPr>
          <w:rStyle w:val="29"/>
          <w:rFonts w:hint="eastAsia" w:ascii="黑体" w:hAnsi="黑体" w:eastAsia="黑体"/>
          <w:b w:val="0"/>
        </w:rPr>
        <w:t>出决算情况说明</w:t>
      </w:r>
      <w:bookmarkEnd w:id="36"/>
      <w:bookmarkEnd w:id="37"/>
      <w:bookmarkEnd w:id="38"/>
      <w:bookmarkEnd w:id="39"/>
    </w:p>
    <w:p>
      <w:pPr>
        <w:spacing w:line="600" w:lineRule="exact"/>
        <w:ind w:firstLine="640" w:firstLineChars="200"/>
        <w:outlineLvl w:val="1"/>
        <w:rPr>
          <w:rFonts w:ascii="仿宋_GB2312" w:eastAsia="仿宋_GB2312"/>
          <w:sz w:val="32"/>
          <w:szCs w:val="32"/>
        </w:rPr>
      </w:pPr>
      <w:bookmarkStart w:id="40" w:name="_Toc147933325"/>
      <w:bookmarkStart w:id="41" w:name="_Toc149307207"/>
      <w:r>
        <w:rPr>
          <w:rFonts w:ascii="仿宋" w:hAnsi="仿宋" w:eastAsia="仿宋"/>
          <w:sz w:val="32"/>
          <w:szCs w:val="32"/>
        </w:rPr>
        <w:t>20</w:t>
      </w:r>
      <w:r>
        <w:rPr>
          <w:rFonts w:hint="eastAsia" w:ascii="仿宋" w:hAnsi="仿宋" w:eastAsia="仿宋"/>
          <w:sz w:val="32"/>
          <w:szCs w:val="32"/>
        </w:rPr>
        <w:t>22年本年支出合计551.30万元，其中：基本支出551.30万元，占100</w:t>
      </w:r>
      <w:r>
        <w:rPr>
          <w:rFonts w:ascii="仿宋" w:hAnsi="仿宋" w:eastAsia="仿宋"/>
          <w:sz w:val="32"/>
          <w:szCs w:val="32"/>
        </w:rPr>
        <w:t>%</w:t>
      </w:r>
      <w:r>
        <w:rPr>
          <w:rFonts w:hint="eastAsia" w:ascii="仿宋" w:hAnsi="仿宋" w:eastAsia="仿宋"/>
          <w:sz w:val="32"/>
          <w:szCs w:val="32"/>
        </w:rPr>
        <w:t>；项目支出0万元，占</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40"/>
      <w:bookmarkEnd w:id="41"/>
    </w:p>
    <w:p>
      <w:pPr>
        <w:pStyle w:val="2"/>
        <w:rPr>
          <w:rFonts w:ascii="仿宋_GB2312" w:eastAsia="仿宋_GB2312"/>
          <w:sz w:val="32"/>
          <w:szCs w:val="32"/>
        </w:rPr>
      </w:pPr>
      <w:r>
        <w:drawing>
          <wp:inline distT="0" distB="0" distL="114300" distR="114300">
            <wp:extent cx="4253230" cy="2403475"/>
            <wp:effectExtent l="0" t="0" r="13970" b="1587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29"/>
          <w:rFonts w:ascii="黑体" w:hAnsi="黑体" w:eastAsia="黑体"/>
          <w:b w:val="0"/>
        </w:rPr>
      </w:pPr>
      <w:bookmarkStart w:id="42" w:name="_Toc15377208"/>
      <w:bookmarkStart w:id="43" w:name="_Toc15396606"/>
      <w:bookmarkStart w:id="44" w:name="_Toc14930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2"/>
      <w:bookmarkEnd w:id="43"/>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22年财政拨款收入、支出总计191.39万元。</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p>
    <w:p>
      <w:pPr>
        <w:spacing w:line="600" w:lineRule="exact"/>
        <w:ind w:firstLine="640" w:firstLineChars="200"/>
        <w:outlineLvl w:val="1"/>
        <w:rPr>
          <w:rStyle w:val="29"/>
          <w:rFonts w:ascii="黑体" w:hAnsi="黑体" w:eastAsia="黑体"/>
          <w:b w:val="0"/>
        </w:rPr>
      </w:pPr>
      <w:bookmarkStart w:id="45" w:name="_Toc15396607"/>
      <w:bookmarkStart w:id="46" w:name="_Toc15377209"/>
      <w:bookmarkStart w:id="47" w:name="_Toc14930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5"/>
      <w:bookmarkEnd w:id="46"/>
      <w:bookmarkEnd w:id="47"/>
    </w:p>
    <w:p>
      <w:pPr>
        <w:spacing w:line="600" w:lineRule="exact"/>
        <w:ind w:firstLine="643" w:firstLineChars="200"/>
        <w:outlineLvl w:val="2"/>
        <w:rPr>
          <w:rFonts w:ascii="仿宋" w:hAnsi="仿宋" w:eastAsia="仿宋"/>
          <w:b/>
          <w:sz w:val="32"/>
          <w:szCs w:val="32"/>
        </w:rPr>
      </w:pPr>
      <w:bookmarkStart w:id="48" w:name="_Toc15377210"/>
      <w:bookmarkStart w:id="49" w:name="_Toc149307210"/>
      <w:r>
        <w:rPr>
          <w:rFonts w:hint="eastAsia" w:ascii="仿宋" w:hAnsi="仿宋" w:eastAsia="仿宋"/>
          <w:b/>
          <w:sz w:val="32"/>
          <w:szCs w:val="32"/>
        </w:rPr>
        <w:t>（一）一般公共预算财政拨款支出决算总体情况</w:t>
      </w:r>
      <w:bookmarkEnd w:id="48"/>
      <w:bookmarkEnd w:id="4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22年一般公共预算财政拨款支出191.39万元，占本年支出合计的35</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p>
    <w:p>
      <w:pPr>
        <w:spacing w:line="600" w:lineRule="exact"/>
        <w:ind w:firstLine="643" w:firstLineChars="200"/>
        <w:outlineLvl w:val="2"/>
        <w:rPr>
          <w:rFonts w:ascii="仿宋" w:hAnsi="仿宋" w:eastAsia="仿宋"/>
          <w:b/>
          <w:sz w:val="32"/>
          <w:szCs w:val="32"/>
        </w:rPr>
      </w:pPr>
      <w:bookmarkStart w:id="50" w:name="_Toc15377211"/>
      <w:bookmarkStart w:id="51" w:name="_Toc149307211"/>
      <w:r>
        <w:rPr>
          <w:rFonts w:hint="eastAsia" w:ascii="仿宋" w:hAnsi="仿宋" w:eastAsia="仿宋"/>
          <w:b/>
          <w:sz w:val="32"/>
          <w:szCs w:val="32"/>
        </w:rPr>
        <w:t>（二）一般公共预算财政拨款支出决算结构情况</w:t>
      </w:r>
      <w:bookmarkEnd w:id="50"/>
      <w:bookmarkEnd w:id="5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22年一般公共预算财政拨款支出191.39万元，主要用于以下方面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支出4.26</w:t>
      </w:r>
      <w:r>
        <w:rPr>
          <w:rFonts w:hint="eastAsia" w:ascii="仿宋" w:hAnsi="仿宋" w:eastAsia="仿宋"/>
          <w:sz w:val="32"/>
          <w:szCs w:val="32"/>
        </w:rPr>
        <w:t>万元，占2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卫生健康支出183.94</w:t>
      </w:r>
      <w:r>
        <w:rPr>
          <w:rFonts w:hint="eastAsia" w:ascii="仿宋" w:hAnsi="仿宋" w:eastAsia="仿宋"/>
          <w:sz w:val="32"/>
          <w:szCs w:val="32"/>
        </w:rPr>
        <w:t>万元，占96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住房保障支出3.19</w:t>
      </w:r>
      <w:r>
        <w:rPr>
          <w:rFonts w:hint="eastAsia" w:ascii="仿宋" w:hAnsi="仿宋" w:eastAsia="仿宋"/>
          <w:sz w:val="32"/>
          <w:szCs w:val="32"/>
        </w:rPr>
        <w:t>万元，占2</w:t>
      </w:r>
      <w:r>
        <w:rPr>
          <w:rFonts w:ascii="仿宋" w:hAnsi="仿宋" w:eastAsia="仿宋"/>
          <w:sz w:val="32"/>
          <w:szCs w:val="32"/>
        </w:rPr>
        <w:t>%</w:t>
      </w:r>
      <w:r>
        <w:rPr>
          <w:rFonts w:hint="eastAsia" w:ascii="仿宋" w:hAnsi="仿宋" w:eastAsia="仿宋"/>
          <w:sz w:val="32"/>
          <w:szCs w:val="32"/>
        </w:rPr>
        <w:t>。</w:t>
      </w:r>
    </w:p>
    <w:p>
      <w:pPr>
        <w:pStyle w:val="2"/>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sz w:val="32"/>
          <w:szCs w:val="32"/>
        </w:rPr>
      </w:pPr>
      <w:bookmarkStart w:id="52" w:name="_Toc149307212"/>
      <w:bookmarkStart w:id="53" w:name="_Toc15377212"/>
      <w:r>
        <w:rPr>
          <w:rFonts w:hint="eastAsia" w:ascii="仿宋" w:hAnsi="仿宋" w:eastAsia="仿宋"/>
          <w:b/>
          <w:sz w:val="32"/>
          <w:szCs w:val="32"/>
        </w:rPr>
        <w:t>（三）一般公共预算财政拨款支出决算具体情况</w:t>
      </w:r>
      <w:bookmarkEnd w:id="52"/>
      <w:bookmarkEnd w:id="53"/>
    </w:p>
    <w:p>
      <w:pPr>
        <w:spacing w:line="600" w:lineRule="exact"/>
        <w:ind w:firstLine="643" w:firstLineChars="200"/>
        <w:outlineLvl w:val="2"/>
        <w:rPr>
          <w:rStyle w:val="18"/>
          <w:rFonts w:ascii="仿宋" w:hAnsi="仿宋" w:eastAsia="仿宋"/>
          <w:bCs/>
          <w:sz w:val="32"/>
          <w:szCs w:val="32"/>
        </w:rPr>
      </w:pPr>
      <w:bookmarkStart w:id="54" w:name="_Toc15377444"/>
      <w:bookmarkStart w:id="55" w:name="_Toc15377213"/>
      <w:bookmarkStart w:id="56" w:name="_Toc15378460"/>
      <w:bookmarkStart w:id="57" w:name="_Toc147933331"/>
      <w:bookmarkStart w:id="58" w:name="_Toc149307213"/>
      <w:r>
        <w:rPr>
          <w:rFonts w:hint="eastAsia" w:ascii="仿宋" w:hAnsi="仿宋" w:eastAsia="仿宋"/>
          <w:b/>
          <w:sz w:val="32"/>
          <w:szCs w:val="32"/>
        </w:rPr>
        <w:t>2022年一般公共预算支出决算数为191.39万元</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54"/>
      <w:bookmarkEnd w:id="55"/>
      <w:bookmarkEnd w:id="56"/>
      <w:bookmarkEnd w:id="57"/>
      <w:bookmarkEnd w:id="58"/>
    </w:p>
    <w:p>
      <w:pPr>
        <w:pStyle w:val="2"/>
        <w:ind w:left="0" w:leftChars="0" w:firstLine="643"/>
        <w:rPr>
          <w:rFonts w:ascii="仿宋" w:hAnsi="仿宋" w:eastAsia="仿宋"/>
          <w:b/>
          <w:sz w:val="32"/>
          <w:szCs w:val="32"/>
        </w:rPr>
      </w:pPr>
      <w:r>
        <w:rPr>
          <w:rFonts w:ascii="仿宋" w:hAnsi="仿宋" w:eastAsia="仿宋"/>
          <w:b/>
          <w:sz w:val="32"/>
          <w:szCs w:val="32"/>
        </w:rPr>
        <w:t>1.社会保障和就业（类）行政事业单位养老支出（款）机关事业单位基本养老保险缴费支出（项）: 支出决算为</w:t>
      </w:r>
      <w:r>
        <w:rPr>
          <w:rFonts w:hint="eastAsia" w:ascii="仿宋" w:hAnsi="仿宋" w:eastAsia="仿宋"/>
          <w:b/>
          <w:sz w:val="32"/>
          <w:szCs w:val="32"/>
        </w:rPr>
        <w:t>4.26</w:t>
      </w:r>
      <w:r>
        <w:rPr>
          <w:rFonts w:ascii="仿宋" w:hAnsi="仿宋" w:eastAsia="仿宋"/>
          <w:b/>
          <w:sz w:val="32"/>
          <w:szCs w:val="32"/>
        </w:rPr>
        <w:t>万元，完成预算100%。</w:t>
      </w:r>
    </w:p>
    <w:p>
      <w:pPr>
        <w:pStyle w:val="2"/>
        <w:ind w:left="0" w:leftChars="0" w:firstLine="643"/>
        <w:rPr>
          <w:rFonts w:ascii="仿宋" w:hAnsi="仿宋" w:eastAsia="仿宋"/>
          <w:b/>
          <w:sz w:val="32"/>
          <w:szCs w:val="32"/>
        </w:rPr>
      </w:pPr>
      <w:r>
        <w:rPr>
          <w:rFonts w:ascii="仿宋" w:hAnsi="仿宋" w:eastAsia="仿宋"/>
          <w:b/>
          <w:sz w:val="32"/>
          <w:szCs w:val="32"/>
        </w:rPr>
        <w:t>2.卫生健康（类）基层医疗卫生机构（款）乡镇卫生院（项）:支出决算为137.</w:t>
      </w:r>
      <w:r>
        <w:rPr>
          <w:rFonts w:hint="eastAsia" w:ascii="仿宋" w:hAnsi="仿宋" w:eastAsia="仿宋"/>
          <w:b/>
          <w:sz w:val="32"/>
          <w:szCs w:val="32"/>
        </w:rPr>
        <w:t>21</w:t>
      </w:r>
      <w:r>
        <w:rPr>
          <w:rFonts w:ascii="仿宋" w:hAnsi="仿宋" w:eastAsia="仿宋"/>
          <w:b/>
          <w:sz w:val="32"/>
          <w:szCs w:val="32"/>
        </w:rPr>
        <w:t>万元，完成预算100%。</w:t>
      </w:r>
    </w:p>
    <w:p>
      <w:pPr>
        <w:pStyle w:val="2"/>
        <w:ind w:left="0" w:leftChars="0" w:firstLine="643"/>
        <w:rPr>
          <w:rFonts w:ascii="仿宋" w:hAnsi="仿宋" w:eastAsia="仿宋"/>
          <w:b/>
          <w:sz w:val="32"/>
          <w:szCs w:val="32"/>
        </w:rPr>
      </w:pPr>
      <w:r>
        <w:rPr>
          <w:rFonts w:ascii="仿宋" w:hAnsi="仿宋" w:eastAsia="仿宋"/>
          <w:b/>
          <w:sz w:val="32"/>
          <w:szCs w:val="32"/>
        </w:rPr>
        <w:t>3.卫生健康（类）基层医疗卫生机构（款）其他基层医疗卫生机构支出（项）:支出决算为</w:t>
      </w:r>
      <w:r>
        <w:rPr>
          <w:rFonts w:hint="eastAsia" w:ascii="仿宋" w:hAnsi="仿宋" w:eastAsia="仿宋"/>
          <w:b/>
          <w:sz w:val="32"/>
          <w:szCs w:val="32"/>
        </w:rPr>
        <w:t>9.31</w:t>
      </w:r>
      <w:r>
        <w:rPr>
          <w:rFonts w:ascii="仿宋" w:hAnsi="仿宋" w:eastAsia="仿宋"/>
          <w:b/>
          <w:sz w:val="32"/>
          <w:szCs w:val="32"/>
        </w:rPr>
        <w:t>万元，完成预算100%。</w:t>
      </w:r>
    </w:p>
    <w:p>
      <w:pPr>
        <w:pStyle w:val="2"/>
        <w:ind w:left="0" w:leftChars="0" w:firstLine="643"/>
        <w:rPr>
          <w:rFonts w:ascii="仿宋" w:hAnsi="仿宋" w:eastAsia="仿宋"/>
          <w:b/>
          <w:sz w:val="32"/>
          <w:szCs w:val="32"/>
        </w:rPr>
      </w:pPr>
      <w:r>
        <w:rPr>
          <w:rFonts w:ascii="仿宋" w:hAnsi="仿宋" w:eastAsia="仿宋"/>
          <w:b/>
          <w:sz w:val="32"/>
          <w:szCs w:val="32"/>
        </w:rPr>
        <w:t>4.卫生健康（类）公共卫生（款）基本公共卫生服务（项）：支出决算</w:t>
      </w:r>
      <w:r>
        <w:rPr>
          <w:rFonts w:hint="eastAsia" w:ascii="仿宋" w:hAnsi="仿宋" w:eastAsia="仿宋"/>
          <w:b/>
          <w:sz w:val="32"/>
          <w:szCs w:val="32"/>
        </w:rPr>
        <w:t>35.29</w:t>
      </w:r>
      <w:r>
        <w:rPr>
          <w:rFonts w:ascii="仿宋" w:hAnsi="仿宋" w:eastAsia="仿宋"/>
          <w:b/>
          <w:sz w:val="32"/>
          <w:szCs w:val="32"/>
        </w:rPr>
        <w:t>万元，完成预算100%。</w:t>
      </w:r>
    </w:p>
    <w:p>
      <w:pPr>
        <w:pStyle w:val="2"/>
        <w:ind w:left="0" w:leftChars="0" w:firstLine="643"/>
        <w:rPr>
          <w:rFonts w:ascii="仿宋" w:hAnsi="仿宋" w:eastAsia="仿宋"/>
          <w:b/>
          <w:sz w:val="32"/>
          <w:szCs w:val="32"/>
        </w:rPr>
      </w:pPr>
      <w:r>
        <w:rPr>
          <w:rFonts w:ascii="仿宋" w:hAnsi="仿宋" w:eastAsia="仿宋"/>
          <w:b/>
          <w:sz w:val="32"/>
          <w:szCs w:val="32"/>
        </w:rPr>
        <w:t>5.卫生健康（类）行政事业单位医疗（款）事业单位医疗（项）：支出决算</w:t>
      </w:r>
      <w:r>
        <w:rPr>
          <w:rFonts w:hint="eastAsia" w:ascii="仿宋" w:hAnsi="仿宋" w:eastAsia="仿宋"/>
          <w:b/>
          <w:sz w:val="32"/>
          <w:szCs w:val="32"/>
        </w:rPr>
        <w:t>2.13</w:t>
      </w:r>
      <w:r>
        <w:rPr>
          <w:rFonts w:ascii="仿宋" w:hAnsi="仿宋" w:eastAsia="仿宋"/>
          <w:b/>
          <w:sz w:val="32"/>
          <w:szCs w:val="32"/>
        </w:rPr>
        <w:t>万元，完成预算100%。</w:t>
      </w:r>
    </w:p>
    <w:p>
      <w:pPr>
        <w:pStyle w:val="2"/>
        <w:ind w:left="0" w:leftChars="0" w:firstLine="643"/>
        <w:rPr>
          <w:rFonts w:ascii="仿宋" w:hAnsi="仿宋" w:eastAsia="仿宋"/>
          <w:b/>
          <w:sz w:val="32"/>
          <w:szCs w:val="32"/>
        </w:rPr>
      </w:pPr>
      <w:r>
        <w:rPr>
          <w:rFonts w:ascii="仿宋" w:hAnsi="仿宋" w:eastAsia="仿宋"/>
          <w:b/>
          <w:sz w:val="32"/>
          <w:szCs w:val="32"/>
        </w:rPr>
        <w:t>6.住房保障（类）住房改革支出（款）住房公积金（项）:支出决算为</w:t>
      </w:r>
      <w:r>
        <w:rPr>
          <w:rFonts w:hint="eastAsia" w:ascii="仿宋" w:hAnsi="仿宋" w:eastAsia="仿宋"/>
          <w:b/>
          <w:sz w:val="32"/>
          <w:szCs w:val="32"/>
        </w:rPr>
        <w:t>3.19</w:t>
      </w:r>
      <w:r>
        <w:rPr>
          <w:rFonts w:ascii="仿宋" w:hAnsi="仿宋" w:eastAsia="仿宋"/>
          <w:b/>
          <w:sz w:val="32"/>
          <w:szCs w:val="32"/>
        </w:rPr>
        <w:t>万元，完成预算100%。</w:t>
      </w:r>
    </w:p>
    <w:p>
      <w:pPr>
        <w:tabs>
          <w:tab w:val="right" w:pos="8306"/>
        </w:tabs>
        <w:spacing w:line="600" w:lineRule="exact"/>
        <w:ind w:firstLine="640"/>
        <w:outlineLvl w:val="1"/>
        <w:rPr>
          <w:rStyle w:val="29"/>
        </w:rPr>
      </w:pPr>
      <w:bookmarkStart w:id="59" w:name="_Toc15377214"/>
      <w:bookmarkStart w:id="60" w:name="_Toc15396608"/>
      <w:bookmarkStart w:id="61" w:name="_Toc14930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9"/>
      <w:bookmarkEnd w:id="60"/>
      <w:bookmarkEnd w:id="6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22年一般公共预算财政拨款基本支出191.39万元，其中：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人员经费169.28万元，主要包括：基本工资、津贴补贴、绩效工资、机关事业单位基本养老保险缴费、职工医疗保险缴费、职业年金缴费、其他社会保障缴费、其他工资福利支出、住房公积金等。</w:t>
      </w:r>
    </w:p>
    <w:p>
      <w:pPr>
        <w:spacing w:line="600" w:lineRule="exact"/>
        <w:rPr>
          <w:rFonts w:ascii="仿宋" w:hAnsi="仿宋" w:eastAsia="仿宋"/>
          <w:sz w:val="32"/>
          <w:szCs w:val="32"/>
        </w:rPr>
      </w:pPr>
      <w:r>
        <w:rPr>
          <w:rFonts w:hint="eastAsia" w:ascii="仿宋" w:hAnsi="仿宋" w:eastAsia="仿宋"/>
          <w:sz w:val="32"/>
          <w:szCs w:val="32"/>
        </w:rPr>
        <w:t>　　公用经费22.11万元，主要包括：办公费、印刷费、手续费、水费、电费、差旅费、维修（护）费、会议费、公务接待费、专用材料费、其他交通费等。</w:t>
      </w:r>
    </w:p>
    <w:p>
      <w:pPr>
        <w:spacing w:line="600" w:lineRule="exact"/>
        <w:ind w:firstLine="640"/>
        <w:outlineLvl w:val="1"/>
        <w:rPr>
          <w:rStyle w:val="29"/>
          <w:rFonts w:ascii="黑体" w:hAnsi="黑体" w:eastAsia="黑体"/>
          <w:b w:val="0"/>
        </w:rPr>
      </w:pPr>
      <w:bookmarkStart w:id="62" w:name="_Toc15377215"/>
      <w:bookmarkStart w:id="63" w:name="_Toc15396609"/>
      <w:bookmarkStart w:id="64" w:name="_Toc14930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62"/>
      <w:bookmarkEnd w:id="63"/>
      <w:bookmarkEnd w:id="64"/>
    </w:p>
    <w:p>
      <w:pPr>
        <w:spacing w:line="600" w:lineRule="exact"/>
        <w:ind w:firstLine="640"/>
        <w:outlineLvl w:val="2"/>
        <w:rPr>
          <w:rFonts w:ascii="仿宋" w:hAnsi="仿宋" w:eastAsia="仿宋"/>
          <w:b/>
          <w:sz w:val="32"/>
          <w:szCs w:val="32"/>
        </w:rPr>
      </w:pPr>
      <w:bookmarkStart w:id="65" w:name="_Toc15377216"/>
      <w:bookmarkStart w:id="66" w:name="_Toc149307216"/>
      <w:r>
        <w:rPr>
          <w:rFonts w:hint="eastAsia" w:ascii="仿宋" w:hAnsi="仿宋" w:eastAsia="仿宋"/>
          <w:b/>
          <w:sz w:val="32"/>
          <w:szCs w:val="32"/>
        </w:rPr>
        <w:t>（一）“三公”经费财政拨款支出决算总体情况说明</w:t>
      </w:r>
      <w:bookmarkEnd w:id="65"/>
      <w:bookmarkEnd w:id="6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22年“三公”经费财政拨款支出决算为0.75万元，完成预算98</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67" w:name="_Toc15377217"/>
      <w:bookmarkStart w:id="68" w:name="_Toc149307217"/>
      <w:r>
        <w:rPr>
          <w:rFonts w:hint="eastAsia" w:ascii="仿宋" w:hAnsi="仿宋" w:eastAsia="仿宋"/>
          <w:b/>
          <w:sz w:val="32"/>
          <w:szCs w:val="32"/>
        </w:rPr>
        <w:t>（二）“三公”经费财政拨款支出决算具体情况说明</w:t>
      </w:r>
      <w:bookmarkEnd w:id="67"/>
      <w:bookmarkEnd w:id="6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；公务接待费支出决算0.75万元，占98</w:t>
      </w:r>
      <w:r>
        <w:rPr>
          <w:rFonts w:ascii="仿宋" w:hAnsi="仿宋" w:eastAsia="仿宋"/>
          <w:sz w:val="32"/>
          <w:szCs w:val="32"/>
        </w:rPr>
        <w:t>%</w:t>
      </w:r>
      <w:r>
        <w:rPr>
          <w:rFonts w:hint="eastAsia" w:ascii="仿宋" w:hAnsi="仿宋" w:eastAsia="仿宋"/>
          <w:sz w:val="32"/>
          <w:szCs w:val="32"/>
        </w:rPr>
        <w:t>。具体情况如下：</w:t>
      </w:r>
    </w:p>
    <w:p>
      <w:pPr>
        <w:pStyle w:val="4"/>
        <w:spacing w:before="93"/>
        <w:ind w:firstLine="300"/>
        <w:rPr>
          <w:rFonts w:ascii="仿宋" w:hAnsi="仿宋" w:eastAsia="仿宋"/>
          <w:sz w:val="32"/>
          <w:szCs w:val="32"/>
        </w:rPr>
      </w:pPr>
      <w:r>
        <w:drawing>
          <wp:inline distT="0" distB="0" distL="114300" distR="114300">
            <wp:extent cx="4847590" cy="2695575"/>
            <wp:effectExtent l="4445" t="5080" r="571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rPr>
          <w:rFonts w:ascii="仿宋" w:hAnsi="仿宋" w:eastAsia="仿宋"/>
          <w:sz w:val="32"/>
          <w:szCs w:val="32"/>
        </w:rPr>
      </w:pPr>
      <w:r>
        <w:rPr>
          <w:rFonts w:hint="eastAsia" w:ascii="仿宋_GB2312" w:eastAsia="仿宋_GB2312"/>
          <w:b/>
          <w:sz w:val="32"/>
          <w:szCs w:val="32"/>
        </w:rPr>
        <w:t>1.公务接待费支出0.75</w:t>
      </w:r>
      <w:r>
        <w:rPr>
          <w:rFonts w:hint="eastAsia" w:ascii="仿宋_GB2312" w:eastAsia="仿宋_GB2312"/>
          <w:sz w:val="32"/>
          <w:szCs w:val="32"/>
        </w:rPr>
        <w:t>万元，</w:t>
      </w:r>
      <w:r>
        <w:rPr>
          <w:rStyle w:val="18"/>
          <w:rFonts w:hint="eastAsia" w:ascii="仿宋" w:hAnsi="仿宋" w:eastAsia="仿宋"/>
          <w:b w:val="0"/>
          <w:bCs/>
          <w:sz w:val="32"/>
          <w:szCs w:val="32"/>
        </w:rPr>
        <w:t>完成预算98</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ascii="仿宋" w:hAnsi="仿宋" w:eastAsia="仿宋"/>
          <w:sz w:val="32"/>
          <w:szCs w:val="32"/>
        </w:rPr>
        <w:t>2021年本单位未单独填报决算，由系统统一填报部门决算，故无法对比</w:t>
      </w:r>
      <w:r>
        <w:rPr>
          <w:rFonts w:hint="eastAsia" w:ascii="仿宋" w:hAnsi="仿宋" w:eastAsia="仿宋"/>
          <w:sz w:val="32"/>
          <w:szCs w:val="32"/>
        </w:rPr>
        <w:t>。</w:t>
      </w:r>
    </w:p>
    <w:p>
      <w:pPr>
        <w:spacing w:line="600" w:lineRule="exact"/>
        <w:ind w:firstLine="964" w:firstLineChars="300"/>
        <w:rPr>
          <w:rFonts w:ascii="黑体" w:eastAsia="黑体"/>
          <w:sz w:val="32"/>
          <w:szCs w:val="32"/>
        </w:rPr>
      </w:pPr>
      <w:r>
        <w:rPr>
          <w:rFonts w:hint="eastAsia" w:ascii="仿宋" w:hAnsi="仿宋" w:eastAsia="仿宋"/>
          <w:b/>
          <w:sz w:val="32"/>
          <w:szCs w:val="32"/>
        </w:rPr>
        <w:t>2.国内公务接待支出0.75</w:t>
      </w:r>
      <w:r>
        <w:rPr>
          <w:rFonts w:hint="eastAsia" w:ascii="仿宋_GB2312" w:eastAsia="仿宋_GB2312"/>
          <w:sz w:val="32"/>
          <w:szCs w:val="32"/>
        </w:rPr>
        <w:t>万元，主要用于出差用餐、业务活动开展用餐(执行公务、开展业务活动开支的交通费、住宿费、用餐费等)。国内公务接待50批次，225人次（包括陪同人员），共计支出0.75万元。</w:t>
      </w:r>
      <w:bookmarkStart w:id="69" w:name="_Toc15396610"/>
      <w:bookmarkStart w:id="70" w:name="_Toc15377218"/>
    </w:p>
    <w:p>
      <w:pPr>
        <w:spacing w:line="600" w:lineRule="exact"/>
        <w:ind w:firstLine="640"/>
        <w:outlineLvl w:val="1"/>
        <w:rPr>
          <w:rStyle w:val="29"/>
          <w:rFonts w:ascii="黑体" w:hAnsi="黑体" w:eastAsia="黑体"/>
        </w:rPr>
      </w:pPr>
      <w:bookmarkStart w:id="71" w:name="_Toc149307218"/>
      <w:r>
        <w:rPr>
          <w:rFonts w:hint="eastAsia" w:ascii="黑体" w:eastAsia="黑体"/>
          <w:sz w:val="32"/>
          <w:szCs w:val="32"/>
        </w:rPr>
        <w:t>八、</w:t>
      </w:r>
      <w:r>
        <w:rPr>
          <w:rStyle w:val="29"/>
          <w:rFonts w:hint="eastAsia" w:ascii="黑体" w:hAnsi="黑体" w:eastAsia="黑体"/>
          <w:b w:val="0"/>
        </w:rPr>
        <w:t>政府性基金预算支出决算情况说明</w:t>
      </w:r>
      <w:bookmarkEnd w:id="69"/>
      <w:bookmarkEnd w:id="70"/>
      <w:bookmarkEnd w:id="7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9"/>
          <w:rFonts w:ascii="黑体" w:hAnsi="黑体" w:eastAsia="黑体"/>
          <w:b w:val="0"/>
        </w:rPr>
      </w:pPr>
      <w:bookmarkStart w:id="72" w:name="_Toc15377219"/>
      <w:bookmarkStart w:id="73" w:name="_Toc15396611"/>
      <w:bookmarkStart w:id="74" w:name="_Toc149307219"/>
      <w:r>
        <w:rPr>
          <w:rStyle w:val="29"/>
          <w:rFonts w:hint="eastAsia" w:ascii="黑体" w:hAnsi="黑体" w:eastAsia="黑体"/>
          <w:b w:val="0"/>
        </w:rPr>
        <w:t>国有资本经营预算支出决算情况说明</w:t>
      </w:r>
      <w:bookmarkEnd w:id="72"/>
      <w:bookmarkEnd w:id="73"/>
      <w:bookmarkEnd w:id="7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9"/>
          <w:rFonts w:ascii="黑体" w:hAnsi="黑体" w:eastAsia="黑体"/>
          <w:b w:val="0"/>
        </w:rPr>
      </w:pPr>
      <w:bookmarkStart w:id="75" w:name="_Toc15377221"/>
      <w:bookmarkStart w:id="76" w:name="_Toc15396612"/>
      <w:bookmarkStart w:id="77" w:name="_Toc149307220"/>
      <w:r>
        <w:rPr>
          <w:rStyle w:val="29"/>
          <w:rFonts w:hint="eastAsia" w:ascii="黑体" w:hAnsi="黑体" w:eastAsia="黑体"/>
          <w:b w:val="0"/>
        </w:rPr>
        <w:t>其他重要事项的情况说明</w:t>
      </w:r>
      <w:bookmarkEnd w:id="75"/>
      <w:bookmarkEnd w:id="76"/>
      <w:bookmarkEnd w:id="77"/>
    </w:p>
    <w:p>
      <w:pPr>
        <w:spacing w:line="600" w:lineRule="exact"/>
        <w:ind w:firstLine="643" w:firstLineChars="200"/>
        <w:outlineLvl w:val="2"/>
        <w:rPr>
          <w:rFonts w:ascii="仿宋" w:hAnsi="仿宋" w:eastAsia="仿宋"/>
          <w:sz w:val="32"/>
          <w:szCs w:val="32"/>
        </w:rPr>
      </w:pPr>
      <w:bookmarkStart w:id="78" w:name="_Toc15377222"/>
      <w:bookmarkStart w:id="79" w:name="_Toc149307221"/>
      <w:r>
        <w:rPr>
          <w:rFonts w:hint="eastAsia" w:ascii="仿宋" w:hAnsi="仿宋" w:eastAsia="仿宋"/>
          <w:b/>
          <w:sz w:val="32"/>
          <w:szCs w:val="32"/>
        </w:rPr>
        <w:t>（一）机关运行经费支出情况</w:t>
      </w:r>
      <w:bookmarkEnd w:id="78"/>
      <w:bookmarkEnd w:id="79"/>
    </w:p>
    <w:p>
      <w:pPr>
        <w:spacing w:line="600" w:lineRule="exact"/>
        <w:ind w:firstLine="640" w:firstLineChars="200"/>
        <w:rPr>
          <w:rFonts w:ascii="仿宋" w:hAnsi="仿宋" w:eastAsia="仿宋"/>
          <w:b/>
          <w:sz w:val="32"/>
          <w:szCs w:val="32"/>
        </w:rPr>
      </w:pPr>
      <w:bookmarkStart w:id="80" w:name="_Toc15377223"/>
      <w:r>
        <w:rPr>
          <w:rFonts w:ascii="仿宋_GB2312" w:eastAsia="仿宋_GB2312"/>
          <w:sz w:val="32"/>
          <w:szCs w:val="32"/>
        </w:rPr>
        <w:t>20</w:t>
      </w:r>
      <w:r>
        <w:rPr>
          <w:rFonts w:hint="eastAsia" w:ascii="仿宋_GB2312" w:eastAsia="仿宋_GB2312"/>
          <w:sz w:val="32"/>
          <w:szCs w:val="32"/>
        </w:rPr>
        <w:t>22年，剑阁县东宝镇卫生无机关运行经费支出0万元，本单位属于事业单位，无机关运行经费支出。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1" w:name="_Toc149307222"/>
      <w:r>
        <w:rPr>
          <w:rFonts w:hint="eastAsia" w:ascii="仿宋" w:hAnsi="仿宋" w:eastAsia="仿宋"/>
          <w:b/>
          <w:sz w:val="32"/>
          <w:szCs w:val="32"/>
        </w:rPr>
        <w:t>（二）政府采购支出情况</w:t>
      </w:r>
      <w:bookmarkEnd w:id="80"/>
      <w:bookmarkEnd w:id="8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22年，本单位无政府采购支出。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2" w:name="_Toc15377224"/>
      <w:bookmarkStart w:id="83" w:name="_Toc149307223"/>
      <w:r>
        <w:rPr>
          <w:rFonts w:hint="eastAsia" w:ascii="仿宋" w:hAnsi="仿宋" w:eastAsia="仿宋"/>
          <w:b/>
          <w:sz w:val="32"/>
          <w:szCs w:val="32"/>
        </w:rPr>
        <w:t>（三）国有资产占有使用情况</w:t>
      </w:r>
      <w:bookmarkEnd w:id="82"/>
      <w:bookmarkEnd w:id="83"/>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日，本单位无车辆。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84" w:name="_Toc15396613"/>
      <w:bookmarkStart w:id="85" w:name="_Toc15377225"/>
      <w:bookmarkStart w:id="86" w:name="_Toc149307224"/>
      <w:r>
        <w:rPr>
          <w:rFonts w:hint="eastAsia" w:ascii="黑体" w:hAnsi="黑体" w:eastAsia="黑体"/>
          <w:sz w:val="44"/>
          <w:szCs w:val="44"/>
        </w:rPr>
        <w:t>名</w:t>
      </w:r>
      <w:r>
        <w:rPr>
          <w:rStyle w:val="28"/>
          <w:rFonts w:hint="eastAsia" w:ascii="黑体" w:hAnsi="黑体" w:eastAsia="黑体"/>
          <w:b w:val="0"/>
        </w:rPr>
        <w:t>词解释</w:t>
      </w:r>
      <w:bookmarkEnd w:id="84"/>
      <w:bookmarkEnd w:id="85"/>
      <w:bookmarkEnd w:id="86"/>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1.财政拨款收入：指单位从同级财政部门取得的财政预算资金。</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2.事业收入：指事业单位开展专业业务活动及辅助活动取得的收入。</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3.其他收入：指单位取得的除上述收入以外的各项收入。 </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4.社会保障和就业（类）行政事业单位离退休（款）机关事业单位基本养老保险缴费支出（项）：指部门实施养老保险制度由单位缴纳的养老保险费的支出。</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5.卫生健康（类）行政事业单位医疗（款）事业单位医疗（项）：指事业单位用于缴纳单位基本医疗保险支出。</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6.住房保障（类）住房改革支出（款）住房公积金（项）：指按照《住房公积金管理条例》的规定，由单位及其在职职工缴存的长期住房储金。</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7、卫生健康支出（类）公共卫生（款）基本公共卫生服务（项）：指基层医疗机构提供基本公共卫生服务支出。</w:t>
      </w:r>
      <w:r>
        <w:rPr>
          <w:rFonts w:ascii="仿宋_GB2312" w:hAnsi="Calibri" w:eastAsia="仿宋_GB2312" w:cs="仿宋"/>
          <w:kern w:val="0"/>
          <w:sz w:val="32"/>
          <w:szCs w:val="32"/>
        </w:rPr>
        <w:br w:type="textWrapping"/>
      </w:r>
      <w:r>
        <w:rPr>
          <w:rFonts w:ascii="仿宋_GB2312" w:hAnsi="Calibri" w:eastAsia="仿宋_GB2312" w:cs="仿宋"/>
          <w:kern w:val="0"/>
          <w:sz w:val="32"/>
          <w:szCs w:val="32"/>
        </w:rPr>
        <w:t>8.卫生健康支出（类）基层医疗机构（款）乡镇卫生院（项）：指基层医疗机构提供医疗服务支出。</w:t>
      </w:r>
    </w:p>
    <w:p>
      <w:pPr>
        <w:spacing w:line="600" w:lineRule="exact"/>
        <w:ind w:firstLine="640" w:firstLineChars="200"/>
        <w:jc w:val="left"/>
        <w:rPr>
          <w:rFonts w:hint="eastAsia" w:ascii="仿宋_GB2312" w:hAnsi="Calibri" w:eastAsia="仿宋_GB2312" w:cs="仿宋"/>
          <w:kern w:val="0"/>
          <w:sz w:val="32"/>
          <w:szCs w:val="32"/>
        </w:rPr>
      </w:pPr>
      <w:r>
        <w:rPr>
          <w:rFonts w:ascii="仿宋_GB2312" w:hAnsi="Calibri" w:eastAsia="仿宋_GB2312" w:cs="仿宋"/>
          <w:kern w:val="0"/>
          <w:sz w:val="32"/>
          <w:szCs w:val="32"/>
        </w:rPr>
        <w:t>9.卫生健康支出（类）基层医疗卫生机构（款）其他基层医疗卫生机构支出（项）：上述项目以外的其他用于基层医疗卫生机构的支出。</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10.基本支出：指为保障机构正常运转、完成日常工作任务而发生的人员支出和公用支出。</w:t>
      </w:r>
    </w:p>
    <w:p>
      <w:pPr>
        <w:spacing w:line="60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11.“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2" w:lineRule="exact"/>
        <w:jc w:val="left"/>
        <w:outlineLvl w:val="0"/>
        <w:rPr>
          <w:rFonts w:ascii="仿宋_GB2312" w:hAnsi="仿宋_GB2312" w:eastAsia="仿宋_GB2312" w:cs="仿宋_GB2312"/>
          <w:sz w:val="32"/>
          <w:szCs w:val="32"/>
        </w:rPr>
      </w:pPr>
      <w:bookmarkStart w:id="87" w:name="_Toc15377226"/>
    </w:p>
    <w:p>
      <w:pPr>
        <w:pStyle w:val="5"/>
        <w:spacing w:before="93"/>
        <w:rPr>
          <w:rFonts w:hAnsi="Calibri" w:cs="仿宋"/>
          <w:sz w:val="32"/>
          <w:szCs w:val="32"/>
        </w:rPr>
      </w:pPr>
      <w:bookmarkStart w:id="88" w:name="_Toc15396618"/>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pStyle w:val="5"/>
        <w:spacing w:before="93"/>
        <w:rPr>
          <w:rFonts w:hAnsi="Calibri" w:cs="仿宋"/>
          <w:sz w:val="32"/>
          <w:szCs w:val="32"/>
        </w:rPr>
      </w:pPr>
    </w:p>
    <w:p>
      <w:pPr>
        <w:spacing w:line="600" w:lineRule="exact"/>
        <w:jc w:val="center"/>
        <w:outlineLvl w:val="0"/>
        <w:rPr>
          <w:rFonts w:ascii="仿宋" w:hAnsi="仿宋" w:eastAsia="仿宋"/>
        </w:rPr>
      </w:pPr>
      <w:bookmarkStart w:id="89" w:name="_Toc149307225"/>
      <w:r>
        <w:rPr>
          <w:rFonts w:hint="eastAsia" w:ascii="黑体" w:hAnsi="黑体" w:eastAsia="黑体"/>
          <w:sz w:val="44"/>
          <w:szCs w:val="44"/>
        </w:rPr>
        <w:t>第</w:t>
      </w:r>
      <w:r>
        <w:rPr>
          <w:rStyle w:val="28"/>
          <w:rFonts w:hint="eastAsia" w:ascii="黑体" w:hAnsi="黑体" w:eastAsia="黑体"/>
          <w:b w:val="0"/>
        </w:rPr>
        <w:t>四部分 附表</w:t>
      </w:r>
      <w:bookmarkEnd w:id="87"/>
      <w:bookmarkEnd w:id="88"/>
      <w:bookmarkEnd w:id="89"/>
      <w:bookmarkStart w:id="90" w:name="_Toc15396619"/>
    </w:p>
    <w:p>
      <w:pPr>
        <w:pStyle w:val="7"/>
        <w:rPr>
          <w:rFonts w:ascii="仿宋" w:hAnsi="仿宋" w:eastAsia="仿宋"/>
        </w:rPr>
      </w:pPr>
      <w:bookmarkStart w:id="91" w:name="_Toc147933347"/>
      <w:bookmarkStart w:id="92" w:name="_Toc149307226"/>
      <w:r>
        <w:rPr>
          <w:rFonts w:hint="eastAsia" w:ascii="仿宋" w:hAnsi="仿宋" w:eastAsia="仿宋"/>
          <w:b w:val="0"/>
        </w:rPr>
        <w:t>一、收</w:t>
      </w:r>
      <w:r>
        <w:rPr>
          <w:rStyle w:val="29"/>
          <w:rFonts w:hint="eastAsia" w:ascii="仿宋" w:hAnsi="仿宋" w:eastAsia="仿宋"/>
          <w:b w:val="0"/>
          <w:bCs w:val="0"/>
        </w:rPr>
        <w:t>入支出决算总表</w:t>
      </w:r>
      <w:bookmarkEnd w:id="90"/>
      <w:bookmarkEnd w:id="91"/>
      <w:bookmarkEnd w:id="92"/>
    </w:p>
    <w:p>
      <w:pPr>
        <w:pStyle w:val="7"/>
        <w:rPr>
          <w:rFonts w:ascii="仿宋" w:hAnsi="仿宋" w:eastAsia="仿宋"/>
        </w:rPr>
      </w:pPr>
      <w:bookmarkStart w:id="93" w:name="_Toc15396620"/>
      <w:bookmarkStart w:id="94" w:name="_Toc147933348"/>
      <w:bookmarkStart w:id="95" w:name="_Toc149307227"/>
      <w:r>
        <w:rPr>
          <w:rFonts w:hint="eastAsia" w:ascii="仿宋" w:hAnsi="仿宋" w:eastAsia="仿宋"/>
          <w:b w:val="0"/>
        </w:rPr>
        <w:t>二、收</w:t>
      </w:r>
      <w:r>
        <w:rPr>
          <w:rStyle w:val="29"/>
          <w:rFonts w:hint="eastAsia" w:ascii="仿宋" w:hAnsi="仿宋" w:eastAsia="仿宋"/>
          <w:b w:val="0"/>
          <w:bCs w:val="0"/>
        </w:rPr>
        <w:t>入决算表</w:t>
      </w:r>
      <w:bookmarkEnd w:id="93"/>
      <w:bookmarkEnd w:id="94"/>
      <w:bookmarkEnd w:id="95"/>
    </w:p>
    <w:p>
      <w:pPr>
        <w:pStyle w:val="7"/>
        <w:rPr>
          <w:rFonts w:ascii="仿宋" w:hAnsi="仿宋" w:eastAsia="仿宋"/>
        </w:rPr>
      </w:pPr>
      <w:bookmarkStart w:id="96" w:name="_Toc15396621"/>
      <w:bookmarkStart w:id="97" w:name="_Toc147933349"/>
      <w:bookmarkStart w:id="98" w:name="_Toc149307228"/>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96"/>
      <w:bookmarkEnd w:id="97"/>
      <w:bookmarkEnd w:id="98"/>
    </w:p>
    <w:p>
      <w:pPr>
        <w:pStyle w:val="7"/>
        <w:rPr>
          <w:rFonts w:ascii="仿宋" w:hAnsi="仿宋" w:eastAsia="仿宋"/>
          <w:b w:val="0"/>
        </w:rPr>
      </w:pPr>
      <w:bookmarkStart w:id="99" w:name="_Toc15396622"/>
      <w:bookmarkStart w:id="100" w:name="_Toc147933350"/>
      <w:bookmarkStart w:id="101" w:name="_Toc149307229"/>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99"/>
      <w:bookmarkEnd w:id="100"/>
      <w:bookmarkEnd w:id="101"/>
    </w:p>
    <w:p>
      <w:pPr>
        <w:pStyle w:val="7"/>
        <w:rPr>
          <w:rStyle w:val="29"/>
          <w:rFonts w:ascii="仿宋" w:hAnsi="仿宋" w:eastAsia="仿宋"/>
          <w:b w:val="0"/>
          <w:bCs w:val="0"/>
        </w:rPr>
      </w:pPr>
      <w:bookmarkStart w:id="102" w:name="_Toc15396623"/>
      <w:bookmarkStart w:id="103" w:name="_Toc147933351"/>
      <w:bookmarkStart w:id="104" w:name="_Toc149307230"/>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02"/>
      <w:bookmarkEnd w:id="103"/>
      <w:bookmarkEnd w:id="104"/>
      <w:bookmarkStart w:id="105" w:name="_Toc15396624"/>
    </w:p>
    <w:p>
      <w:pPr>
        <w:pStyle w:val="7"/>
        <w:rPr>
          <w:rFonts w:ascii="仿宋" w:hAnsi="仿宋" w:eastAsia="仿宋"/>
        </w:rPr>
      </w:pPr>
      <w:bookmarkStart w:id="106" w:name="_Toc149307231"/>
      <w:bookmarkStart w:id="107" w:name="_Toc147933352"/>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05"/>
      <w:bookmarkEnd w:id="106"/>
      <w:bookmarkEnd w:id="107"/>
    </w:p>
    <w:p>
      <w:pPr>
        <w:pStyle w:val="7"/>
        <w:rPr>
          <w:rFonts w:ascii="仿宋" w:hAnsi="仿宋" w:eastAsia="仿宋"/>
        </w:rPr>
      </w:pPr>
      <w:bookmarkStart w:id="108" w:name="_Toc15396625"/>
      <w:bookmarkStart w:id="109" w:name="_Toc147933353"/>
      <w:bookmarkStart w:id="110" w:name="_Toc149307232"/>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08"/>
      <w:bookmarkEnd w:id="109"/>
      <w:bookmarkEnd w:id="110"/>
    </w:p>
    <w:p>
      <w:pPr>
        <w:pStyle w:val="7"/>
        <w:rPr>
          <w:rFonts w:ascii="仿宋" w:hAnsi="仿宋" w:eastAsia="仿宋"/>
        </w:rPr>
      </w:pPr>
      <w:bookmarkStart w:id="111" w:name="_Toc15396626"/>
      <w:bookmarkStart w:id="112" w:name="_Toc147933354"/>
      <w:bookmarkStart w:id="113" w:name="_Toc149307233"/>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11"/>
      <w:bookmarkEnd w:id="112"/>
      <w:bookmarkEnd w:id="113"/>
    </w:p>
    <w:p>
      <w:pPr>
        <w:pStyle w:val="7"/>
        <w:rPr>
          <w:rFonts w:ascii="仿宋" w:hAnsi="仿宋" w:eastAsia="仿宋"/>
        </w:rPr>
      </w:pPr>
      <w:bookmarkStart w:id="114" w:name="_Toc15396627"/>
      <w:bookmarkStart w:id="115" w:name="_Toc147933355"/>
      <w:bookmarkStart w:id="116" w:name="_Toc149307234"/>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14"/>
      <w:bookmarkEnd w:id="115"/>
      <w:bookmarkEnd w:id="116"/>
    </w:p>
    <w:p>
      <w:pPr>
        <w:pStyle w:val="7"/>
        <w:rPr>
          <w:rFonts w:ascii="仿宋" w:hAnsi="仿宋" w:eastAsia="仿宋"/>
        </w:rPr>
      </w:pPr>
      <w:bookmarkStart w:id="117" w:name="_Toc15396628"/>
      <w:bookmarkStart w:id="118" w:name="_Toc147933356"/>
      <w:bookmarkStart w:id="119" w:name="_Toc149307235"/>
      <w:r>
        <w:rPr>
          <w:rStyle w:val="29"/>
          <w:rFonts w:hint="eastAsia" w:ascii="仿宋" w:hAnsi="仿宋" w:eastAsia="仿宋"/>
          <w:b w:val="0"/>
          <w:bCs w:val="0"/>
        </w:rPr>
        <w:t>十、</w:t>
      </w:r>
      <w:bookmarkEnd w:id="117"/>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18"/>
      <w:bookmarkEnd w:id="119"/>
    </w:p>
    <w:p>
      <w:pPr>
        <w:pStyle w:val="7"/>
        <w:rPr>
          <w:rFonts w:ascii="仿宋" w:hAnsi="仿宋" w:eastAsia="仿宋"/>
        </w:rPr>
      </w:pPr>
      <w:bookmarkStart w:id="120" w:name="_Toc15396629"/>
      <w:bookmarkStart w:id="121" w:name="_Toc147933357"/>
      <w:bookmarkStart w:id="122" w:name="_Toc149307236"/>
      <w:r>
        <w:rPr>
          <w:rStyle w:val="29"/>
          <w:rFonts w:hint="eastAsia" w:ascii="仿宋" w:hAnsi="仿宋" w:eastAsia="仿宋"/>
          <w:b w:val="0"/>
          <w:bCs w:val="0"/>
        </w:rPr>
        <w:t>十一、</w:t>
      </w:r>
      <w:bookmarkEnd w:id="120"/>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21"/>
      <w:bookmarkEnd w:id="122"/>
    </w:p>
    <w:p>
      <w:pPr>
        <w:pStyle w:val="7"/>
        <w:rPr>
          <w:rFonts w:ascii="仿宋" w:hAnsi="仿宋" w:eastAsia="仿宋"/>
        </w:rPr>
      </w:pPr>
      <w:bookmarkStart w:id="123" w:name="_Toc15396630"/>
      <w:bookmarkStart w:id="124" w:name="_Toc147933358"/>
      <w:bookmarkStart w:id="125" w:name="_Toc149307237"/>
      <w:r>
        <w:rPr>
          <w:rStyle w:val="29"/>
          <w:rFonts w:hint="eastAsia" w:ascii="仿宋" w:hAnsi="仿宋" w:eastAsia="仿宋"/>
          <w:b w:val="0"/>
          <w:bCs w:val="0"/>
        </w:rPr>
        <w:t>十二、</w:t>
      </w:r>
      <w:bookmarkEnd w:id="123"/>
      <w:r>
        <w:rPr>
          <w:rStyle w:val="29"/>
          <w:rFonts w:hint="eastAsia" w:ascii="仿宋" w:hAnsi="仿宋" w:eastAsia="仿宋"/>
          <w:b w:val="0"/>
          <w:bCs w:val="0"/>
        </w:rPr>
        <w:t>国有资本经营预算财政拨款支出决算表</w:t>
      </w:r>
      <w:bookmarkEnd w:id="124"/>
      <w:bookmarkEnd w:id="125"/>
    </w:p>
    <w:p>
      <w:pPr>
        <w:pStyle w:val="7"/>
        <w:rPr>
          <w:rFonts w:eastAsia="仿宋"/>
        </w:rPr>
      </w:pPr>
      <w:bookmarkStart w:id="126" w:name="_Toc15396631"/>
      <w:bookmarkStart w:id="127" w:name="_Toc147933359"/>
      <w:bookmarkStart w:id="128" w:name="_Toc149307238"/>
      <w:r>
        <w:rPr>
          <w:rStyle w:val="29"/>
          <w:rFonts w:hint="eastAsia" w:ascii="仿宋" w:hAnsi="仿宋" w:eastAsia="仿宋"/>
          <w:b w:val="0"/>
          <w:bCs w:val="0"/>
        </w:rPr>
        <w:t>十三、</w:t>
      </w:r>
      <w:bookmarkEnd w:id="126"/>
      <w:r>
        <w:rPr>
          <w:rStyle w:val="29"/>
          <w:rFonts w:hint="eastAsia" w:ascii="仿宋" w:hAnsi="仿宋" w:eastAsia="仿宋"/>
          <w:b w:val="0"/>
          <w:bCs w:val="0"/>
        </w:rPr>
        <w:t>财政拨款“三公”经费支出决算表</w:t>
      </w:r>
      <w:bookmarkEnd w:id="127"/>
      <w:bookmarkEnd w:id="12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10</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14C75"/>
    <w:rsid w:val="000222C6"/>
    <w:rsid w:val="0002549F"/>
    <w:rsid w:val="000409D9"/>
    <w:rsid w:val="000468DB"/>
    <w:rsid w:val="00050800"/>
    <w:rsid w:val="0006487A"/>
    <w:rsid w:val="00065F8F"/>
    <w:rsid w:val="00070A43"/>
    <w:rsid w:val="000768F2"/>
    <w:rsid w:val="0009184B"/>
    <w:rsid w:val="00094236"/>
    <w:rsid w:val="0009593C"/>
    <w:rsid w:val="00097322"/>
    <w:rsid w:val="000A6A92"/>
    <w:rsid w:val="000B047F"/>
    <w:rsid w:val="000B3C4F"/>
    <w:rsid w:val="000B5923"/>
    <w:rsid w:val="000B5A48"/>
    <w:rsid w:val="000B6FF3"/>
    <w:rsid w:val="000C3467"/>
    <w:rsid w:val="000C3CA6"/>
    <w:rsid w:val="000D1267"/>
    <w:rsid w:val="000D1D50"/>
    <w:rsid w:val="000D49F1"/>
    <w:rsid w:val="000D5782"/>
    <w:rsid w:val="000E6599"/>
    <w:rsid w:val="000E6613"/>
    <w:rsid w:val="000E7119"/>
    <w:rsid w:val="000F0013"/>
    <w:rsid w:val="001075E1"/>
    <w:rsid w:val="00114E9B"/>
    <w:rsid w:val="00132539"/>
    <w:rsid w:val="00142216"/>
    <w:rsid w:val="00144D6A"/>
    <w:rsid w:val="001468FB"/>
    <w:rsid w:val="0014729F"/>
    <w:rsid w:val="00157BAB"/>
    <w:rsid w:val="001654D1"/>
    <w:rsid w:val="00174518"/>
    <w:rsid w:val="0018106D"/>
    <w:rsid w:val="001877A7"/>
    <w:rsid w:val="00191536"/>
    <w:rsid w:val="00196687"/>
    <w:rsid w:val="001A3C1B"/>
    <w:rsid w:val="001B02B6"/>
    <w:rsid w:val="001C0962"/>
    <w:rsid w:val="001C0A18"/>
    <w:rsid w:val="001D1840"/>
    <w:rsid w:val="001D7531"/>
    <w:rsid w:val="001E737D"/>
    <w:rsid w:val="001F0592"/>
    <w:rsid w:val="001F7506"/>
    <w:rsid w:val="002006CD"/>
    <w:rsid w:val="00202B36"/>
    <w:rsid w:val="00204B7A"/>
    <w:rsid w:val="00204CDE"/>
    <w:rsid w:val="0021101A"/>
    <w:rsid w:val="00214029"/>
    <w:rsid w:val="00220536"/>
    <w:rsid w:val="00235629"/>
    <w:rsid w:val="00255B4B"/>
    <w:rsid w:val="00260C38"/>
    <w:rsid w:val="002616C0"/>
    <w:rsid w:val="00263F65"/>
    <w:rsid w:val="00265372"/>
    <w:rsid w:val="002662AA"/>
    <w:rsid w:val="00280496"/>
    <w:rsid w:val="0028062B"/>
    <w:rsid w:val="00294DC9"/>
    <w:rsid w:val="00295495"/>
    <w:rsid w:val="002958EF"/>
    <w:rsid w:val="002A31DE"/>
    <w:rsid w:val="002B2613"/>
    <w:rsid w:val="002C6C31"/>
    <w:rsid w:val="002C7CD4"/>
    <w:rsid w:val="002D6D05"/>
    <w:rsid w:val="002F147F"/>
    <w:rsid w:val="002F1818"/>
    <w:rsid w:val="002F567B"/>
    <w:rsid w:val="00305609"/>
    <w:rsid w:val="003216A9"/>
    <w:rsid w:val="003253A6"/>
    <w:rsid w:val="003332A8"/>
    <w:rsid w:val="00335A74"/>
    <w:rsid w:val="0036561B"/>
    <w:rsid w:val="0037013F"/>
    <w:rsid w:val="003776D1"/>
    <w:rsid w:val="003800E1"/>
    <w:rsid w:val="00380C92"/>
    <w:rsid w:val="00384514"/>
    <w:rsid w:val="003A307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A76C5"/>
    <w:rsid w:val="004B199D"/>
    <w:rsid w:val="004B4690"/>
    <w:rsid w:val="004C3B9E"/>
    <w:rsid w:val="004D7BF4"/>
    <w:rsid w:val="004E0A2D"/>
    <w:rsid w:val="004E206B"/>
    <w:rsid w:val="004E6DF7"/>
    <w:rsid w:val="004F0FBD"/>
    <w:rsid w:val="005047D2"/>
    <w:rsid w:val="00505A47"/>
    <w:rsid w:val="00512FDA"/>
    <w:rsid w:val="00520DA0"/>
    <w:rsid w:val="005464B2"/>
    <w:rsid w:val="00547A06"/>
    <w:rsid w:val="005664BB"/>
    <w:rsid w:val="00566FFA"/>
    <w:rsid w:val="0057481D"/>
    <w:rsid w:val="0058384D"/>
    <w:rsid w:val="0058486E"/>
    <w:rsid w:val="00585B33"/>
    <w:rsid w:val="00587AA4"/>
    <w:rsid w:val="0059014D"/>
    <w:rsid w:val="00592C49"/>
    <w:rsid w:val="005A61F4"/>
    <w:rsid w:val="005A66E5"/>
    <w:rsid w:val="005B5C64"/>
    <w:rsid w:val="005C5337"/>
    <w:rsid w:val="005C6BD0"/>
    <w:rsid w:val="005D1C8B"/>
    <w:rsid w:val="005D468D"/>
    <w:rsid w:val="005D5CED"/>
    <w:rsid w:val="005F1A4C"/>
    <w:rsid w:val="00601D29"/>
    <w:rsid w:val="00605688"/>
    <w:rsid w:val="006070AF"/>
    <w:rsid w:val="00607E6C"/>
    <w:rsid w:val="00607ED7"/>
    <w:rsid w:val="00607F22"/>
    <w:rsid w:val="006101B1"/>
    <w:rsid w:val="00614E44"/>
    <w:rsid w:val="0062270A"/>
    <w:rsid w:val="00622830"/>
    <w:rsid w:val="00623DA0"/>
    <w:rsid w:val="00630AEF"/>
    <w:rsid w:val="00630E31"/>
    <w:rsid w:val="006325F8"/>
    <w:rsid w:val="00633463"/>
    <w:rsid w:val="00634C9A"/>
    <w:rsid w:val="0063613A"/>
    <w:rsid w:val="006440E4"/>
    <w:rsid w:val="0066343B"/>
    <w:rsid w:val="00664777"/>
    <w:rsid w:val="006748A4"/>
    <w:rsid w:val="00681A31"/>
    <w:rsid w:val="00683E73"/>
    <w:rsid w:val="0069052E"/>
    <w:rsid w:val="006A3141"/>
    <w:rsid w:val="006A5E34"/>
    <w:rsid w:val="006A6311"/>
    <w:rsid w:val="006B2422"/>
    <w:rsid w:val="006B2B9A"/>
    <w:rsid w:val="006C1937"/>
    <w:rsid w:val="006F020C"/>
    <w:rsid w:val="00700E63"/>
    <w:rsid w:val="007127B7"/>
    <w:rsid w:val="0071798E"/>
    <w:rsid w:val="007416B6"/>
    <w:rsid w:val="00746F48"/>
    <w:rsid w:val="0075404D"/>
    <w:rsid w:val="0076182A"/>
    <w:rsid w:val="00767B7E"/>
    <w:rsid w:val="007770C3"/>
    <w:rsid w:val="00784D24"/>
    <w:rsid w:val="00785FBA"/>
    <w:rsid w:val="00786E4A"/>
    <w:rsid w:val="007875EB"/>
    <w:rsid w:val="0079426B"/>
    <w:rsid w:val="00794593"/>
    <w:rsid w:val="007D1682"/>
    <w:rsid w:val="007D312A"/>
    <w:rsid w:val="007D3F19"/>
    <w:rsid w:val="007E23B0"/>
    <w:rsid w:val="007E23E5"/>
    <w:rsid w:val="007F0B91"/>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2D9"/>
    <w:rsid w:val="00871F71"/>
    <w:rsid w:val="00872FD8"/>
    <w:rsid w:val="008771C4"/>
    <w:rsid w:val="00882F1F"/>
    <w:rsid w:val="00885AF4"/>
    <w:rsid w:val="008939CD"/>
    <w:rsid w:val="008B768C"/>
    <w:rsid w:val="008C0874"/>
    <w:rsid w:val="008C4DB1"/>
    <w:rsid w:val="008C4EAF"/>
    <w:rsid w:val="008C5176"/>
    <w:rsid w:val="008C7FD0"/>
    <w:rsid w:val="008E1DE7"/>
    <w:rsid w:val="008E707C"/>
    <w:rsid w:val="008E7E21"/>
    <w:rsid w:val="00900B08"/>
    <w:rsid w:val="00902155"/>
    <w:rsid w:val="00902FA3"/>
    <w:rsid w:val="00923564"/>
    <w:rsid w:val="0092392E"/>
    <w:rsid w:val="009315F9"/>
    <w:rsid w:val="009319E4"/>
    <w:rsid w:val="00933499"/>
    <w:rsid w:val="00935C98"/>
    <w:rsid w:val="00946945"/>
    <w:rsid w:val="00951248"/>
    <w:rsid w:val="0095152F"/>
    <w:rsid w:val="00954C49"/>
    <w:rsid w:val="00955E37"/>
    <w:rsid w:val="009575B9"/>
    <w:rsid w:val="0096294D"/>
    <w:rsid w:val="0097099F"/>
    <w:rsid w:val="00971997"/>
    <w:rsid w:val="00971FFC"/>
    <w:rsid w:val="009733A0"/>
    <w:rsid w:val="009802A2"/>
    <w:rsid w:val="0098660A"/>
    <w:rsid w:val="009931C3"/>
    <w:rsid w:val="00997921"/>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337D"/>
    <w:rsid w:val="00A67AB5"/>
    <w:rsid w:val="00A733B2"/>
    <w:rsid w:val="00A741C2"/>
    <w:rsid w:val="00A74598"/>
    <w:rsid w:val="00A91760"/>
    <w:rsid w:val="00A93B00"/>
    <w:rsid w:val="00A93C21"/>
    <w:rsid w:val="00AB64C9"/>
    <w:rsid w:val="00AC3C6A"/>
    <w:rsid w:val="00AD5620"/>
    <w:rsid w:val="00AD656B"/>
    <w:rsid w:val="00AD7C1B"/>
    <w:rsid w:val="00AE16BA"/>
    <w:rsid w:val="00AE1EBE"/>
    <w:rsid w:val="00AE4981"/>
    <w:rsid w:val="00B03C9D"/>
    <w:rsid w:val="00B060AE"/>
    <w:rsid w:val="00B10517"/>
    <w:rsid w:val="00B14E76"/>
    <w:rsid w:val="00B161B8"/>
    <w:rsid w:val="00B2048C"/>
    <w:rsid w:val="00B310B9"/>
    <w:rsid w:val="00B35F3F"/>
    <w:rsid w:val="00B36CBB"/>
    <w:rsid w:val="00B425E0"/>
    <w:rsid w:val="00B440AA"/>
    <w:rsid w:val="00B44B70"/>
    <w:rsid w:val="00B46840"/>
    <w:rsid w:val="00B53C56"/>
    <w:rsid w:val="00B57DAF"/>
    <w:rsid w:val="00B63B9F"/>
    <w:rsid w:val="00B77EA6"/>
    <w:rsid w:val="00B81598"/>
    <w:rsid w:val="00B841F1"/>
    <w:rsid w:val="00B873A9"/>
    <w:rsid w:val="00B944D6"/>
    <w:rsid w:val="00BB49B4"/>
    <w:rsid w:val="00BB4DF0"/>
    <w:rsid w:val="00BC289F"/>
    <w:rsid w:val="00BC2D50"/>
    <w:rsid w:val="00BC5361"/>
    <w:rsid w:val="00BC5460"/>
    <w:rsid w:val="00BC6B50"/>
    <w:rsid w:val="00BD0E25"/>
    <w:rsid w:val="00BE7431"/>
    <w:rsid w:val="00BF5BD6"/>
    <w:rsid w:val="00C03E31"/>
    <w:rsid w:val="00C0717F"/>
    <w:rsid w:val="00C1671B"/>
    <w:rsid w:val="00C30718"/>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5A13"/>
    <w:rsid w:val="00D063E1"/>
    <w:rsid w:val="00D114F0"/>
    <w:rsid w:val="00D20620"/>
    <w:rsid w:val="00D2132C"/>
    <w:rsid w:val="00D254F7"/>
    <w:rsid w:val="00D26091"/>
    <w:rsid w:val="00D2685C"/>
    <w:rsid w:val="00D34E7C"/>
    <w:rsid w:val="00D35489"/>
    <w:rsid w:val="00D36AFE"/>
    <w:rsid w:val="00D51276"/>
    <w:rsid w:val="00D7035F"/>
    <w:rsid w:val="00DA0AEB"/>
    <w:rsid w:val="00DA634F"/>
    <w:rsid w:val="00DA65AC"/>
    <w:rsid w:val="00DB1913"/>
    <w:rsid w:val="00DC410D"/>
    <w:rsid w:val="00DC5A81"/>
    <w:rsid w:val="00DC68CA"/>
    <w:rsid w:val="00DC7AA3"/>
    <w:rsid w:val="00DC7CBA"/>
    <w:rsid w:val="00DD186F"/>
    <w:rsid w:val="00DD73B7"/>
    <w:rsid w:val="00DF28BC"/>
    <w:rsid w:val="00DF34B9"/>
    <w:rsid w:val="00E01053"/>
    <w:rsid w:val="00E07ACF"/>
    <w:rsid w:val="00E331A1"/>
    <w:rsid w:val="00E33202"/>
    <w:rsid w:val="00E336A9"/>
    <w:rsid w:val="00E472B1"/>
    <w:rsid w:val="00E50624"/>
    <w:rsid w:val="00E568DF"/>
    <w:rsid w:val="00E64269"/>
    <w:rsid w:val="00E8214F"/>
    <w:rsid w:val="00E82267"/>
    <w:rsid w:val="00E853CE"/>
    <w:rsid w:val="00E867B6"/>
    <w:rsid w:val="00EA010F"/>
    <w:rsid w:val="00ED1B63"/>
    <w:rsid w:val="00ED394D"/>
    <w:rsid w:val="00ED3C1F"/>
    <w:rsid w:val="00ED4085"/>
    <w:rsid w:val="00ED420E"/>
    <w:rsid w:val="00ED6FBE"/>
    <w:rsid w:val="00EE2F57"/>
    <w:rsid w:val="00EF4C34"/>
    <w:rsid w:val="00EF77C6"/>
    <w:rsid w:val="00F05438"/>
    <w:rsid w:val="00F1361C"/>
    <w:rsid w:val="00F156F0"/>
    <w:rsid w:val="00F160C7"/>
    <w:rsid w:val="00F2408F"/>
    <w:rsid w:val="00F240E9"/>
    <w:rsid w:val="00F25988"/>
    <w:rsid w:val="00F26F64"/>
    <w:rsid w:val="00F36D8F"/>
    <w:rsid w:val="00F417B1"/>
    <w:rsid w:val="00F45853"/>
    <w:rsid w:val="00F602DF"/>
    <w:rsid w:val="00F754A1"/>
    <w:rsid w:val="00F81FD9"/>
    <w:rsid w:val="00F841AA"/>
    <w:rsid w:val="00F84A94"/>
    <w:rsid w:val="00F858CE"/>
    <w:rsid w:val="00F87E96"/>
    <w:rsid w:val="00FA23E8"/>
    <w:rsid w:val="00FD3CC1"/>
    <w:rsid w:val="00FF1E02"/>
    <w:rsid w:val="00FF30B4"/>
    <w:rsid w:val="020238B0"/>
    <w:rsid w:val="02A268E9"/>
    <w:rsid w:val="02D95DA2"/>
    <w:rsid w:val="035660D3"/>
    <w:rsid w:val="041D4B32"/>
    <w:rsid w:val="051F7AE9"/>
    <w:rsid w:val="053A62B5"/>
    <w:rsid w:val="06CB485A"/>
    <w:rsid w:val="07CA6B59"/>
    <w:rsid w:val="08576DD9"/>
    <w:rsid w:val="08D149F4"/>
    <w:rsid w:val="0952248D"/>
    <w:rsid w:val="0A2032A3"/>
    <w:rsid w:val="0AD157FE"/>
    <w:rsid w:val="0B8A37D8"/>
    <w:rsid w:val="0BFD0426"/>
    <w:rsid w:val="105B64D1"/>
    <w:rsid w:val="10A60528"/>
    <w:rsid w:val="10C055FF"/>
    <w:rsid w:val="118107EC"/>
    <w:rsid w:val="11874FDA"/>
    <w:rsid w:val="11DD6519"/>
    <w:rsid w:val="122B6DF7"/>
    <w:rsid w:val="12CF10F9"/>
    <w:rsid w:val="14125E33"/>
    <w:rsid w:val="147E4EF1"/>
    <w:rsid w:val="14DF7724"/>
    <w:rsid w:val="14EE195B"/>
    <w:rsid w:val="15DF38B7"/>
    <w:rsid w:val="16BB723D"/>
    <w:rsid w:val="18015F3F"/>
    <w:rsid w:val="187E7BDF"/>
    <w:rsid w:val="19F85E4D"/>
    <w:rsid w:val="1A43188C"/>
    <w:rsid w:val="1A8E02F0"/>
    <w:rsid w:val="1BE8440E"/>
    <w:rsid w:val="1D155CEE"/>
    <w:rsid w:val="1D3A6030"/>
    <w:rsid w:val="1D6B4945"/>
    <w:rsid w:val="1DE6239A"/>
    <w:rsid w:val="1DF66988"/>
    <w:rsid w:val="1F1B59C7"/>
    <w:rsid w:val="1F775738"/>
    <w:rsid w:val="20F57F95"/>
    <w:rsid w:val="22601909"/>
    <w:rsid w:val="230168B6"/>
    <w:rsid w:val="23364FB7"/>
    <w:rsid w:val="23A74C7C"/>
    <w:rsid w:val="240371BF"/>
    <w:rsid w:val="24B4672C"/>
    <w:rsid w:val="25711CC6"/>
    <w:rsid w:val="25C741E6"/>
    <w:rsid w:val="27842671"/>
    <w:rsid w:val="280B55A4"/>
    <w:rsid w:val="28A23CA3"/>
    <w:rsid w:val="28AA357B"/>
    <w:rsid w:val="28CA140D"/>
    <w:rsid w:val="29FD04D3"/>
    <w:rsid w:val="2ABE7A3E"/>
    <w:rsid w:val="2BA801DE"/>
    <w:rsid w:val="2C32265D"/>
    <w:rsid w:val="2CA234A8"/>
    <w:rsid w:val="2CE1559D"/>
    <w:rsid w:val="2EFA178C"/>
    <w:rsid w:val="2FA442E9"/>
    <w:rsid w:val="30B46D73"/>
    <w:rsid w:val="31056C7E"/>
    <w:rsid w:val="319F7F4E"/>
    <w:rsid w:val="31B02B52"/>
    <w:rsid w:val="383D0BFF"/>
    <w:rsid w:val="383D272C"/>
    <w:rsid w:val="3966671C"/>
    <w:rsid w:val="39AE70AB"/>
    <w:rsid w:val="39AF163A"/>
    <w:rsid w:val="39F85FFC"/>
    <w:rsid w:val="3A584697"/>
    <w:rsid w:val="3C0C0783"/>
    <w:rsid w:val="3C4C3F1F"/>
    <w:rsid w:val="3C5E4889"/>
    <w:rsid w:val="3E217BEC"/>
    <w:rsid w:val="3F272DAF"/>
    <w:rsid w:val="3F850504"/>
    <w:rsid w:val="3F9F3A96"/>
    <w:rsid w:val="3FB4208A"/>
    <w:rsid w:val="402B7DCB"/>
    <w:rsid w:val="404771F4"/>
    <w:rsid w:val="40497C79"/>
    <w:rsid w:val="40B85171"/>
    <w:rsid w:val="4164197C"/>
    <w:rsid w:val="41C73296"/>
    <w:rsid w:val="427B1043"/>
    <w:rsid w:val="454E65AE"/>
    <w:rsid w:val="460B2C20"/>
    <w:rsid w:val="466F299D"/>
    <w:rsid w:val="46C64F91"/>
    <w:rsid w:val="481207DE"/>
    <w:rsid w:val="48BF60AB"/>
    <w:rsid w:val="48D8100D"/>
    <w:rsid w:val="493C27E9"/>
    <w:rsid w:val="496F39ED"/>
    <w:rsid w:val="49EF7EAC"/>
    <w:rsid w:val="49FB685A"/>
    <w:rsid w:val="49FF41D3"/>
    <w:rsid w:val="4B55418A"/>
    <w:rsid w:val="4B8A0D8B"/>
    <w:rsid w:val="4BB06586"/>
    <w:rsid w:val="4BBA429A"/>
    <w:rsid w:val="4BE068DB"/>
    <w:rsid w:val="4BF6002B"/>
    <w:rsid w:val="4C7B53F1"/>
    <w:rsid w:val="4ECE2238"/>
    <w:rsid w:val="51DB4B86"/>
    <w:rsid w:val="54FF3CCD"/>
    <w:rsid w:val="55333C3E"/>
    <w:rsid w:val="566D5AEC"/>
    <w:rsid w:val="592C312F"/>
    <w:rsid w:val="59EC6DF0"/>
    <w:rsid w:val="5A150DF4"/>
    <w:rsid w:val="5A7B17F2"/>
    <w:rsid w:val="5B6740BC"/>
    <w:rsid w:val="5BAF3E80"/>
    <w:rsid w:val="5C5238E2"/>
    <w:rsid w:val="5CE31534"/>
    <w:rsid w:val="5FC77177"/>
    <w:rsid w:val="5FEB0C2A"/>
    <w:rsid w:val="60231110"/>
    <w:rsid w:val="628E70A6"/>
    <w:rsid w:val="6497160C"/>
    <w:rsid w:val="64CA39A1"/>
    <w:rsid w:val="6604449B"/>
    <w:rsid w:val="67BC324D"/>
    <w:rsid w:val="689A54DB"/>
    <w:rsid w:val="69630ADE"/>
    <w:rsid w:val="6A283CA7"/>
    <w:rsid w:val="6A377A57"/>
    <w:rsid w:val="6AC22E99"/>
    <w:rsid w:val="6B794366"/>
    <w:rsid w:val="6BFA40E2"/>
    <w:rsid w:val="6C1C2A93"/>
    <w:rsid w:val="6C4A05C8"/>
    <w:rsid w:val="6C704686"/>
    <w:rsid w:val="6D3B1A89"/>
    <w:rsid w:val="6E3B4247"/>
    <w:rsid w:val="6F0D2446"/>
    <w:rsid w:val="6FFF24CA"/>
    <w:rsid w:val="71BF4EC2"/>
    <w:rsid w:val="72734D90"/>
    <w:rsid w:val="728251CB"/>
    <w:rsid w:val="7407512D"/>
    <w:rsid w:val="7412278C"/>
    <w:rsid w:val="741C1AD0"/>
    <w:rsid w:val="7465112D"/>
    <w:rsid w:val="746F35F3"/>
    <w:rsid w:val="75C52474"/>
    <w:rsid w:val="78521663"/>
    <w:rsid w:val="788624E2"/>
    <w:rsid w:val="79CB1A30"/>
    <w:rsid w:val="79E7B28D"/>
    <w:rsid w:val="7BD46AE6"/>
    <w:rsid w:val="7D5A468D"/>
    <w:rsid w:val="7DA0279D"/>
    <w:rsid w:val="7E6570B1"/>
    <w:rsid w:val="7E922E3C"/>
    <w:rsid w:val="7F9F20EE"/>
    <w:rsid w:val="7FE87008"/>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ind w:left="420" w:leftChars="200"/>
    </w:pPr>
  </w:style>
  <w:style w:type="paragraph" w:styleId="4">
    <w:name w:val="Body Text First Indent"/>
    <w:basedOn w:val="5"/>
    <w:qFormat/>
    <w:uiPriority w:val="0"/>
    <w:pPr>
      <w:ind w:firstLine="420" w:firstLineChars="100"/>
    </w:pPr>
  </w:style>
  <w:style w:type="paragraph" w:styleId="5">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eastAsia="仿宋_GB2312" w:cs="Courier New"/>
      <w:b/>
      <w:sz w:val="32"/>
      <w:szCs w:val="21"/>
    </w:rPr>
  </w:style>
  <w:style w:type="paragraph" w:styleId="11">
    <w:name w:val="Balloon Text"/>
    <w:basedOn w:val="1"/>
    <w:link w:val="31"/>
    <w:semiHidden/>
    <w:unhideWhenUsed/>
    <w:qFormat/>
    <w:uiPriority w:val="99"/>
    <w:rPr>
      <w:sz w:val="18"/>
      <w:szCs w:val="18"/>
    </w:rPr>
  </w:style>
  <w:style w:type="paragraph" w:styleId="1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3"/>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2"/>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6"/>
    <w:qFormat/>
    <w:uiPriority w:val="9"/>
    <w:rPr>
      <w:rFonts w:ascii="Times New Roman" w:hAnsi="Times New Roman"/>
      <w:b/>
      <w:bCs/>
      <w:kern w:val="44"/>
      <w:sz w:val="44"/>
      <w:szCs w:val="44"/>
    </w:rPr>
  </w:style>
  <w:style w:type="character" w:customStyle="1" w:styleId="29">
    <w:name w:val="标题 2 Char"/>
    <w:basedOn w:val="17"/>
    <w:link w:val="7"/>
    <w:qFormat/>
    <w:uiPriority w:val="9"/>
    <w:rPr>
      <w:rFonts w:asciiTheme="majorHAnsi" w:hAnsiTheme="majorHAnsi" w:eastAsiaTheme="majorEastAsia" w:cstheme="majorBidi"/>
      <w:b/>
      <w:bCs/>
      <w:kern w:val="2"/>
      <w:sz w:val="32"/>
      <w:szCs w:val="32"/>
    </w:rPr>
  </w:style>
  <w:style w:type="paragraph" w:customStyle="1" w:styleId="30">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1"/>
    <w:semiHidden/>
    <w:qFormat/>
    <w:uiPriority w:val="99"/>
    <w:rPr>
      <w:rFonts w:ascii="Times New Roman" w:hAnsi="Times New Roman"/>
      <w:kern w:val="2"/>
      <w:sz w:val="18"/>
      <w:szCs w:val="18"/>
    </w:rPr>
  </w:style>
  <w:style w:type="character" w:customStyle="1" w:styleId="32">
    <w:name w:val="标题 3 Char"/>
    <w:basedOn w:val="17"/>
    <w:link w:val="8"/>
    <w:qFormat/>
    <w:uiPriority w:val="9"/>
    <w:rPr>
      <w:rFonts w:ascii="Times New Roman" w:hAnsi="Times New Roman"/>
      <w:b/>
      <w:bCs/>
      <w:kern w:val="2"/>
      <w:sz w:val="32"/>
      <w:szCs w:val="32"/>
    </w:rPr>
  </w:style>
  <w:style w:type="paragraph" w:customStyle="1" w:styleId="33">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Heading"/>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hj\AppData\Local\Temp\Rar$DIa1304.27098\&#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hj\AppData\Local\Temp\Rar$DIa1304.27098\&#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hj\AppData\Local\Temp\Rar$DIa1304.27098\&#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hj\AppData\Local\Temp\Rar$DIa1304.27098\&#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0.35</c:v>
                </c:pt>
                <c:pt idx="1">
                  <c:v>0</c:v>
                </c:pt>
                <c:pt idx="2">
                  <c:v>0</c:v>
                </c:pt>
                <c:pt idx="3">
                  <c:v>0.53</c:v>
                </c:pt>
                <c:pt idx="4">
                  <c:v>0</c:v>
                </c:pt>
                <c:pt idx="5">
                  <c:v>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0</c:v>
                </c:pt>
                <c:pt idx="1">
                  <c:v>4.26</c:v>
                </c:pt>
                <c:pt idx="2">
                  <c:v>183.94</c:v>
                </c:pt>
                <c:pt idx="3">
                  <c:v>3.19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0.75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837E7-D79B-459C-BA99-B1BCAC5F6AF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15</Pages>
  <Words>986</Words>
  <Characters>5622</Characters>
  <Lines>46</Lines>
  <Paragraphs>13</Paragraphs>
  <TotalTime>51</TotalTime>
  <ScaleCrop>false</ScaleCrop>
  <LinksUpToDate>false</LinksUpToDate>
  <CharactersWithSpaces>6595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NO LOVE</cp:lastModifiedBy>
  <cp:lastPrinted>2023-07-31T02:35:00Z</cp:lastPrinted>
  <dcterms:modified xsi:type="dcterms:W3CDTF">2023-10-29T03:16:18Z</dcterms:modified>
  <dc:title>四川省***</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38FC768330634E939F600BC49E711AA9_12</vt:lpwstr>
  </property>
</Properties>
</file>