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56" w:beforeLines="50" w:after="156" w:afterLines="50" w:line="560" w:lineRule="exac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</w:p>
    <w:p>
      <w:pPr>
        <w:adjustRightInd w:val="0"/>
        <w:spacing w:before="156" w:beforeLines="50" w:after="156" w:afterLines="50"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部分不合格项目解读</w:t>
      </w:r>
      <w:bookmarkStart w:id="0" w:name="_GoBack"/>
      <w:bookmarkEnd w:id="0"/>
    </w:p>
    <w:p>
      <w:pPr>
        <w:pStyle w:val="10"/>
        <w:widowControl/>
        <w:spacing w:beforeAutospacing="0" w:after="150" w:afterAutospacing="0"/>
        <w:rPr>
          <w:rFonts w:ascii="宋体" w:hAnsi="宋体" w:cs="宋体"/>
          <w:b/>
          <w:kern w:val="2"/>
          <w:sz w:val="32"/>
          <w:szCs w:val="32"/>
        </w:rPr>
      </w:pPr>
      <w:r>
        <w:rPr>
          <w:rFonts w:hint="eastAsia" w:ascii="宋体" w:hAnsi="宋体" w:cs="宋体"/>
          <w:b/>
          <w:kern w:val="2"/>
          <w:sz w:val="32"/>
          <w:szCs w:val="32"/>
        </w:rPr>
        <w:t>（一）镉（以Cd计）</w:t>
      </w:r>
    </w:p>
    <w:p>
      <w:pPr>
        <w:pStyle w:val="10"/>
        <w:widowControl/>
        <w:spacing w:beforeAutospacing="0" w:after="150" w:afterAutospacing="0"/>
        <w:ind w:firstLine="420"/>
      </w:pPr>
      <w:r>
        <w:rPr>
          <w:rFonts w:hint="eastAsia" w:ascii="黑体" w:hAnsi="宋体" w:eastAsia="黑体" w:cs="黑体"/>
          <w:sz w:val="21"/>
          <w:szCs w:val="21"/>
        </w:rPr>
        <w:t>镉（以Cd计）是一种蓄积性的重金属元素。长期食用镉（以Cd计）超标的食品，可能对肾脏、肝脏和骨骼造成损害，还可能影响免疫系统，甚至可能对儿童高级神经活动有损害。</w:t>
      </w:r>
    </w:p>
    <w:p>
      <w:pPr>
        <w:pStyle w:val="10"/>
        <w:widowControl/>
        <w:spacing w:beforeAutospacing="0" w:after="150" w:afterAutospacing="0"/>
        <w:ind w:firstLine="420"/>
      </w:pPr>
      <w:r>
        <w:rPr>
          <w:rFonts w:hint="eastAsia" w:ascii="黑体" w:hAnsi="宋体" w:eastAsia="黑体" w:cs="黑体"/>
          <w:sz w:val="21"/>
          <w:szCs w:val="21"/>
        </w:rPr>
        <w:t>《食品安全国家标准 食品中污染物限量》（GB 2762—2017）中规定：镉（以Cd计）在新鲜蔬菜（叶菜蔬菜、豆类蔬菜、块根和块茎蔬菜、茎类蔬菜、黄花菜除外）中的限量值为0.05mg/kg；镉（以Cd计）在鲜、冻水产动物（甲壳类）中的限量值为0.5mg/kg。镉（以Cd计）在鲜、冻水产动物（头足类）中的限量值为2.0mg/kg。</w:t>
      </w:r>
    </w:p>
    <w:p>
      <w:pPr>
        <w:pStyle w:val="10"/>
        <w:widowControl/>
        <w:spacing w:beforeAutospacing="0" w:after="150" w:afterAutospacing="0"/>
        <w:ind w:firstLine="420"/>
        <w:rPr>
          <w:rFonts w:ascii="宋体" w:hAnsi="宋体" w:cs="宋体"/>
          <w:sz w:val="30"/>
          <w:szCs w:val="30"/>
        </w:rPr>
      </w:pPr>
      <w:r>
        <w:rPr>
          <w:rFonts w:hint="eastAsia" w:ascii="黑体" w:hAnsi="宋体" w:eastAsia="黑体" w:cs="黑体"/>
          <w:sz w:val="21"/>
          <w:szCs w:val="21"/>
        </w:rPr>
        <w:t>2021年抽检超标主要蔬菜品种有辣椒、韭菜、茄子，镉超标的原因，可能是其生长过程中富集了环境中的镉元素。水产动物产品主要有海水蟹、虾蛄、海水虾、带鱼、鱿鱼，镉超标的原因，可能是其生长过程中富集环境中的镉元素所致。</w:t>
      </w:r>
    </w:p>
    <w:p>
      <w:pPr>
        <w:pStyle w:val="10"/>
        <w:widowControl/>
        <w:spacing w:beforeAutospacing="0" w:after="150" w:afterAutospacing="0"/>
        <w:rPr>
          <w:rFonts w:ascii="宋体" w:hAnsi="宋体" w:cs="宋体"/>
          <w:b/>
          <w:kern w:val="2"/>
          <w:sz w:val="32"/>
          <w:szCs w:val="32"/>
        </w:rPr>
      </w:pPr>
      <w:r>
        <w:rPr>
          <w:rFonts w:hint="eastAsia" w:ascii="宋体" w:hAnsi="宋体" w:cs="宋体"/>
          <w:b/>
          <w:kern w:val="2"/>
          <w:sz w:val="32"/>
          <w:szCs w:val="32"/>
        </w:rPr>
        <w:t>（二）铅（以Pb计）</w:t>
      </w:r>
    </w:p>
    <w:p>
      <w:pPr>
        <w:pStyle w:val="10"/>
        <w:widowControl/>
        <w:spacing w:beforeAutospacing="0" w:after="150" w:afterAutospacing="0"/>
        <w:ind w:firstLine="420"/>
      </w:pPr>
      <w:r>
        <w:rPr>
          <w:rFonts w:hint="eastAsia" w:ascii="黑体" w:hAnsi="宋体" w:eastAsia="黑体" w:cs="黑体"/>
          <w:sz w:val="21"/>
          <w:szCs w:val="21"/>
        </w:rPr>
        <w:t>铅是最常见的重金属污染物，是一种严重危害人体健康的重金属元素，可在人体内蓄积。长期摄入铅含量超标的食品，会对血液系统、神经系统产生损害。</w:t>
      </w:r>
    </w:p>
    <w:p>
      <w:pPr>
        <w:pStyle w:val="10"/>
        <w:widowControl/>
        <w:spacing w:beforeAutospacing="0" w:after="150" w:afterAutospacing="0"/>
        <w:ind w:firstLine="420"/>
      </w:pPr>
      <w:r>
        <w:rPr>
          <w:rFonts w:hint="eastAsia" w:ascii="黑体" w:hAnsi="宋体" w:eastAsia="黑体" w:cs="黑体"/>
          <w:sz w:val="21"/>
          <w:szCs w:val="21"/>
        </w:rPr>
        <w:t>《食品安全国家标准 食品中污染物限量》（GB 2762—2017）中规定，铅（以Pb计）在藻类及其制品（螺旋藻及其制品除外）中的最大限量值为1.0mg/kg（以干重计）。藻类干制品中铅（以Pb计）检测值超标的原因，可能是生产企业使用的原料中铅含量超标，也可能是生产设备或包装材料中的铅迁移带入。</w:t>
      </w:r>
    </w:p>
    <w:p>
      <w:pPr>
        <w:pStyle w:val="10"/>
        <w:widowControl/>
        <w:spacing w:beforeAutospacing="0" w:after="150" w:afterAutospacing="0"/>
        <w:ind w:firstLine="420"/>
      </w:pPr>
      <w:r>
        <w:rPr>
          <w:rFonts w:hint="eastAsia" w:ascii="黑体" w:hAnsi="宋体" w:eastAsia="黑体" w:cs="黑体"/>
          <w:sz w:val="21"/>
          <w:szCs w:val="21"/>
        </w:rPr>
        <w:t>《食品安全国家标准 食品中污染物限量》（GB 2762—2017）中规定，铅（以Pb计）在新鲜蔬菜（芸薹类蔬菜、叶菜蔬菜、豆类蔬菜、薯类除外）中的限量值为0.1mg/kg。2021年抽检超标蔬菜主要有韭菜、姜、蔬菜干制品、酱腌菜，铅（以Pb计）检测值超标的原因，可能是生产企业使用的蔬菜原料中铅含量超标，也可能是生产设备或包装材料中的铅迁移带入。</w:t>
      </w:r>
    </w:p>
    <w:p>
      <w:pPr>
        <w:pStyle w:val="10"/>
        <w:widowControl/>
        <w:spacing w:beforeAutospacing="0" w:after="150" w:afterAutospacing="0"/>
        <w:ind w:firstLine="420"/>
        <w:rPr>
          <w:rFonts w:ascii="黑体" w:hAnsi="宋体" w:eastAsia="黑体" w:cs="黑体"/>
          <w:sz w:val="21"/>
          <w:szCs w:val="21"/>
        </w:rPr>
      </w:pPr>
      <w:r>
        <w:rPr>
          <w:rFonts w:hint="eastAsia" w:ascii="黑体" w:hAnsi="宋体" w:eastAsia="黑体" w:cs="黑体"/>
          <w:sz w:val="21"/>
          <w:szCs w:val="21"/>
        </w:rPr>
        <w:t>《脱水蔬菜 叶菜类》（NY/T 960—2006）中规定，铅（以Pb计）最大限量值为0.2mg/kg。蔬菜干制品中铅（以Pb计）检测值超标的原因，可能是生产企业使用的蔬菜原料中铅含量超标，也可能是生产设备或包装材料中的铅迁移带入。</w:t>
      </w:r>
    </w:p>
    <w:p>
      <w:pPr>
        <w:pStyle w:val="10"/>
        <w:widowControl/>
        <w:spacing w:beforeAutospacing="0" w:after="150" w:afterAutospacing="0"/>
        <w:rPr>
          <w:rFonts w:hint="eastAsia" w:ascii="宋体" w:hAnsi="宋体" w:cs="宋体"/>
          <w:b/>
          <w:kern w:val="2"/>
          <w:sz w:val="32"/>
          <w:szCs w:val="32"/>
        </w:rPr>
      </w:pPr>
      <w:r>
        <w:rPr>
          <w:rFonts w:hint="eastAsia" w:ascii="宋体" w:hAnsi="宋体" w:cs="宋体"/>
          <w:b/>
          <w:kern w:val="2"/>
          <w:sz w:val="32"/>
          <w:szCs w:val="32"/>
        </w:rPr>
        <w:t>（三）过氧化值（以脂肪计）</w:t>
      </w:r>
    </w:p>
    <w:p>
      <w:pPr>
        <w:pStyle w:val="10"/>
        <w:widowControl/>
        <w:spacing w:beforeAutospacing="0" w:after="150" w:afterAutospacing="0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宋体" w:eastAsia="黑体" w:cs="黑体"/>
          <w:sz w:val="21"/>
          <w:szCs w:val="21"/>
        </w:rPr>
        <w:t>过氧化值（以脂肪计）主要反映食品中油脂是否氧化变质。随着油脂氧化，过氧化值会逐步升高，虽一般不会对人体的健康产生损害，但严重时会导致肠胃不适、腹泻等症状。</w:t>
      </w:r>
      <w:r>
        <w:rPr>
          <w:rFonts w:hint="eastAsia" w:ascii="黑体" w:hAnsi="黑体" w:eastAsia="黑体"/>
          <w:sz w:val="21"/>
          <w:szCs w:val="21"/>
        </w:rPr>
        <w:t>过氧化值超标的原因，可能是原料油脂储存不当导致脂肪氧化、生产用油变质，或者样品漏气、储存过程中环境条件控制不当导致产品酸败变质。</w:t>
      </w:r>
    </w:p>
    <w:p>
      <w:pPr>
        <w:pStyle w:val="10"/>
        <w:widowControl/>
        <w:spacing w:beforeAutospacing="0" w:after="150" w:afterAutospacing="0"/>
        <w:ind w:left="420"/>
        <w:rPr>
          <w:rFonts w:hint="eastAsia" w:ascii="宋体" w:hAnsi="宋体" w:cs="宋体"/>
          <w:b/>
          <w:kern w:val="2"/>
          <w:sz w:val="32"/>
          <w:szCs w:val="32"/>
        </w:rPr>
      </w:pPr>
      <w:r>
        <w:rPr>
          <w:rFonts w:hint="eastAsia" w:ascii="宋体" w:hAnsi="宋体" w:cs="宋体"/>
          <w:b/>
          <w:kern w:val="2"/>
          <w:sz w:val="32"/>
          <w:szCs w:val="32"/>
        </w:rPr>
        <w:t>（四）甜蜜素</w:t>
      </w:r>
    </w:p>
    <w:p>
      <w:pPr>
        <w:pStyle w:val="10"/>
        <w:widowControl/>
        <w:spacing w:beforeAutospacing="0" w:after="150" w:afterAutospacing="0"/>
        <w:ind w:firstLine="420"/>
        <w:rPr>
          <w:rFonts w:ascii="黑体" w:hAnsi="宋体" w:eastAsia="黑体" w:cs="黑体"/>
          <w:sz w:val="21"/>
          <w:szCs w:val="21"/>
        </w:rPr>
      </w:pPr>
      <w:r>
        <w:rPr>
          <w:rFonts w:hint="eastAsia" w:ascii="黑体" w:hAnsi="宋体" w:eastAsia="黑体" w:cs="黑体"/>
          <w:sz w:val="21"/>
          <w:szCs w:val="21"/>
        </w:rPr>
        <w:t>甜蜜素，其化学名称为环己基氨基磺酸钠，是一种常用的合成甜味剂。《食品安全国家标准食品添加剂使用标准》（GB 2760—2014）中规定，甜蜜素可以用于饮料、糕点、配制酒等食品中，白酒中不允许使用甜蜜素。</w:t>
      </w:r>
    </w:p>
    <w:p>
      <w:pPr>
        <w:pStyle w:val="10"/>
        <w:widowControl/>
        <w:spacing w:beforeAutospacing="0" w:after="150" w:afterAutospacing="0"/>
        <w:ind w:firstLine="420"/>
        <w:rPr>
          <w:rFonts w:ascii="黑体" w:hAnsi="宋体" w:eastAsia="黑体" w:cs="黑体"/>
          <w:sz w:val="21"/>
          <w:szCs w:val="21"/>
        </w:rPr>
      </w:pPr>
    </w:p>
    <w:p>
      <w:pPr>
        <w:pStyle w:val="10"/>
        <w:widowControl/>
        <w:spacing w:before="156" w:beforeLines="50" w:beforeAutospacing="0" w:after="156" w:afterLines="50" w:afterAutospacing="0" w:line="560" w:lineRule="exact"/>
        <w:rPr>
          <w:rFonts w:ascii="宋体" w:hAnsi="宋体" w:cs="宋体"/>
          <w:sz w:val="30"/>
          <w:szCs w:val="30"/>
        </w:rPr>
      </w:pPr>
    </w:p>
    <w:p>
      <w:pPr>
        <w:spacing w:line="360" w:lineRule="auto"/>
        <w:ind w:firstLine="420" w:firstLineChars="200"/>
        <w:rPr>
          <w:rFonts w:ascii="仿宋" w:hAnsi="仿宋" w:eastAsia="仿宋" w:cs="仿宋"/>
        </w:rPr>
      </w:pPr>
    </w:p>
    <w:sectPr>
      <w:footerReference r:id="rId3" w:type="default"/>
      <w:footerReference r:id="rId4" w:type="even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right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A20579"/>
    <w:multiLevelType w:val="multilevel"/>
    <w:tmpl w:val="58A205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451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hYzBmY2Y2YjBjMDQ3ZTdiZDAyOTM5ZWMyMzIyMjEifQ=="/>
  </w:docVars>
  <w:rsids>
    <w:rsidRoot w:val="00263D5F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34591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A729B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1A55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6C7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10174AE"/>
    <w:rsid w:val="05E2497E"/>
    <w:rsid w:val="074F67A3"/>
    <w:rsid w:val="086216F7"/>
    <w:rsid w:val="09483D6C"/>
    <w:rsid w:val="10871BD6"/>
    <w:rsid w:val="16493B4C"/>
    <w:rsid w:val="16E5616B"/>
    <w:rsid w:val="18BB6DEF"/>
    <w:rsid w:val="19886CF9"/>
    <w:rsid w:val="1C25186E"/>
    <w:rsid w:val="1E252CB4"/>
    <w:rsid w:val="1F754098"/>
    <w:rsid w:val="2A807A88"/>
    <w:rsid w:val="2C693C0A"/>
    <w:rsid w:val="309F019C"/>
    <w:rsid w:val="31AA57D8"/>
    <w:rsid w:val="37983B97"/>
    <w:rsid w:val="380A073B"/>
    <w:rsid w:val="38A60179"/>
    <w:rsid w:val="395976F9"/>
    <w:rsid w:val="3CC92C5E"/>
    <w:rsid w:val="3CF07B84"/>
    <w:rsid w:val="3D2A4005"/>
    <w:rsid w:val="3DE85BBF"/>
    <w:rsid w:val="413526FC"/>
    <w:rsid w:val="4B802E6D"/>
    <w:rsid w:val="4E2A6502"/>
    <w:rsid w:val="4FC14E92"/>
    <w:rsid w:val="54634F1C"/>
    <w:rsid w:val="561847B0"/>
    <w:rsid w:val="568C0DA2"/>
    <w:rsid w:val="56F30534"/>
    <w:rsid w:val="572324CE"/>
    <w:rsid w:val="58296419"/>
    <w:rsid w:val="5BDB2106"/>
    <w:rsid w:val="5BEE221D"/>
    <w:rsid w:val="60FB320B"/>
    <w:rsid w:val="63A67CE1"/>
    <w:rsid w:val="6549634D"/>
    <w:rsid w:val="65C452BF"/>
    <w:rsid w:val="675376AF"/>
    <w:rsid w:val="681A165C"/>
    <w:rsid w:val="694F7894"/>
    <w:rsid w:val="69F837E7"/>
    <w:rsid w:val="6A5570D7"/>
    <w:rsid w:val="6FBA6BC5"/>
    <w:rsid w:val="718B0F23"/>
    <w:rsid w:val="71F94C57"/>
    <w:rsid w:val="721C7DF8"/>
    <w:rsid w:val="73264794"/>
    <w:rsid w:val="74656E59"/>
    <w:rsid w:val="7990125F"/>
    <w:rsid w:val="7BD67D8D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jc w:val="left"/>
      <w:outlineLvl w:val="1"/>
    </w:pPr>
    <w:rPr>
      <w:rFonts w:ascii="Arial" w:hAnsi="Arial"/>
      <w:b/>
      <w:sz w:val="36"/>
    </w:rPr>
  </w:style>
  <w:style w:type="paragraph" w:styleId="6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宋体" w:cs="宋体"/>
      <w:lang w:val="zh-CN" w:bidi="zh-CN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qFormat/>
    <w:uiPriority w:val="0"/>
  </w:style>
  <w:style w:type="character" w:styleId="15">
    <w:name w:val="Emphasis"/>
    <w:basedOn w:val="12"/>
    <w:qFormat/>
    <w:uiPriority w:val="20"/>
    <w:rPr>
      <w:i/>
      <w:iCs/>
    </w:rPr>
  </w:style>
  <w:style w:type="character" w:styleId="16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7">
    <w:name w:val="标题 1 Char"/>
    <w:basedOn w:val="12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页脚 Char"/>
    <w:basedOn w:val="12"/>
    <w:link w:val="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"/>
    <w:basedOn w:val="12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1">
    <w:name w:val="apple-converted-space"/>
    <w:basedOn w:val="12"/>
    <w:qFormat/>
    <w:uiPriority w:val="0"/>
  </w:style>
  <w:style w:type="character" w:customStyle="1" w:styleId="22">
    <w:name w:val="highlight"/>
    <w:basedOn w:val="12"/>
    <w:qFormat/>
    <w:uiPriority w:val="0"/>
  </w:style>
  <w:style w:type="character" w:customStyle="1" w:styleId="23">
    <w:name w:val="标题 3 Char"/>
    <w:basedOn w:val="12"/>
    <w:link w:val="6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4">
    <w:name w:val="批注框文本 Char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Table Paragraph"/>
    <w:basedOn w:val="1"/>
    <w:qFormat/>
    <w:uiPriority w:val="1"/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E34D0-6DDD-4EC2-B32A-9F20306A0F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CFDA</Company>
  <Pages>2</Pages>
  <Words>173</Words>
  <Characters>992</Characters>
  <Lines>8</Lines>
  <Paragraphs>2</Paragraphs>
  <TotalTime>9</TotalTime>
  <ScaleCrop>false</ScaleCrop>
  <LinksUpToDate>false</LinksUpToDate>
  <CharactersWithSpaces>1163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2018-03-27T03:33:00Z</dcterms:created>
  <dc:creator>彭小婷</dc:creator>
  <cp:lastModifiedBy></cp:lastModifiedBy>
  <cp:lastPrinted>2020-12-22T09:14:00Z</cp:lastPrinted>
  <dcterms:modified xsi:type="dcterms:W3CDTF">2023-08-07T01:21:13Z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AA1A1807EA444197B5AC39F45912E474_13</vt:lpwstr>
  </property>
</Properties>
</file>