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  <w:t>2023年剑阁县地方一般公共预算收入预算的说明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一般公共预算收入预算数为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56988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增值税预算数为9580万元，较预算基数增长20%。主要是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服务业增加值预计情况等因素预测。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企业所得税预算数为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增长22.5%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。主要是根据企业利润预计情况预测。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个人所得税预算数为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增长7.7%，疫情影响逐渐减小，经济回暖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资源税预算数为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我县天然气产业园发展已初具规模，县域经济发展新的增长点将成型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城市维护建设税预算数为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万元。较预算基数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本县增值税和消费税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情况预测。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房产税预算数为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增长12.1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%。主要是根据经营性用房预计情况等因素预测。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印花税预算数为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城镇土地使用税预算数为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增长7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%。主要是根据土地使用情况等因素预测。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土地增值税预算数为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%。主要是根据土地使用情况等因素预测。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车船税预算数为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下降0.9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根据以往年度数据测算。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耕地占用税预算数为2300万元，较预算基数增长2.2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契税预算数为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下降1.9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烟叶税预算数为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增长8.3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主要是根据烟叶税收入等因数预测。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环境保护税收入预算数为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%。主要是根据污染物排放量等因素预测。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专项收入预算数为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增长32.8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行政事业性收费收入预算数为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增长19.6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罚没收入预算数为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下降35.1%。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国有资源（资产）有偿使用收入预算数为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16488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增长26.4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政府住房基金收入预算数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900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万元，较预算基数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增加0.6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%。主要是根据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剑阁县保障性住房租金收入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等情况预测。</w:t>
      </w:r>
    </w:p>
    <w:p/>
    <w:sectPr>
      <w:footerReference r:id="rId3" w:type="default"/>
      <w:pgSz w:w="11906" w:h="16838"/>
      <w:pgMar w:top="1984" w:right="1587" w:bottom="1701" w:left="1587" w:header="851" w:footer="1134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3024743"/>
    <w:rsid w:val="08E716C4"/>
    <w:rsid w:val="0C7038C9"/>
    <w:rsid w:val="190A6BB0"/>
    <w:rsid w:val="21955F93"/>
    <w:rsid w:val="22EB7AD7"/>
    <w:rsid w:val="26C16AC9"/>
    <w:rsid w:val="30674A7F"/>
    <w:rsid w:val="398269A9"/>
    <w:rsid w:val="3ECB2182"/>
    <w:rsid w:val="3F7068A5"/>
    <w:rsid w:val="6BD1531B"/>
    <w:rsid w:val="6C1376A1"/>
    <w:rsid w:val="73C21D5E"/>
    <w:rsid w:val="795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Aal izz Well</dc:creator>
  <cp:lastModifiedBy>Administrator</cp:lastModifiedBy>
  <cp:lastPrinted>2023-01-11T15:39:09Z</cp:lastPrinted>
  <dcterms:modified xsi:type="dcterms:W3CDTF">2023-01-11T15:39:15Z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3023A34088DF42AB87BFB51BC30A7CE1</vt:lpwstr>
  </property>
</Properties>
</file>