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2022年剑阁县地方一般公共预算收入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执行情况的说明</w:t>
      </w: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十九届人民代表大会第二次会议审议批准的2022年地方一般公共预算收入为50990万元。执行中，在全县各级各部门共同的努力下，收入稳中有进。2022年执行数为53012万元，为预算的104%。超收2202万元，超收收入按照预算法有关规定全部补充预算稳定调节基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增值税预算数为7000万元，执行数为7981万元,为预算的114%，超收335万元。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企业所得税预算数为1600万元，执行数为1608万元，为预算的100.5%，超收8万元。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个人所得税预算数为600万元，执行数为613万元，为预算的102.2%，超收13万元。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资源税预算数为3000万元，执行数为3007万元，为预算的100.2%，超收7万元。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城市维护建设税预算数为1000万元，执行数为1134万元，为预算的113.4%，超收134万元。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房产税预算数为409万元，执行数为446万元，为预算的109%，超收37万元。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印花税预算数为380万元，执行数为393万元，为预算的103.4%，超收13万元。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城镇土地使用税预算数为232万元，执行数为243万元，为预算的104.7%，超收11万元。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土地增值税预算数为1431万元，执行数为1431万元，为预算的100%。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车船税预算数为807万元，执行数为888万元，为预算的110%，超收81万元。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耕地占用税预算数为2251万元，执行数为2251万元，为预算的100%。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契税预算数为1754万元，执行数为1835万元，为预算的104.6%，超收81万元。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烟叶税预算数为1923万元，执行数为2078万元，为预算的108.1%，超收155万元。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环境保护税预算数为89万元，执行数为96万元，为预算的107.9%，超收7万元。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其他税收预算数为1万元，执行数为1万元，为预算的100%。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专项收入预算数为1977万元，执行数为2334万元，为预算的118.1%，超收357万元。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行政事业性收费收入预算数为4071万元，执行数为4180万元，为预算的102.7%，超收109万元。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十八、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罚没收入预算数为7700万元，执行数为7700万元，为预算的100%。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国有资源（资产）有偿使用收入预算数为13015万元，执行数为13044万元，为预算的100.2%，超收29万元。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捐赠收入预算数为3万元，执行数为3万元，为预算的100%。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政府住房基金收入预算数为896万元，执行数为895万元，为预算的99.9%，短收1万元。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其他收入851万元。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aperSrc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2769870</wp:posOffset>
              </wp:positionH>
              <wp:positionV relativeFrom="paragraph">
                <wp:posOffset>-30480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1pt;margin-top:-2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5R3Ws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2776855</wp:posOffset>
              </wp:positionH>
              <wp:positionV relativeFrom="paragraph">
                <wp:posOffset>-74930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65pt;margin-top:-5.9pt;height:144pt;width:144pt;mso-position-horizontal-relative:margin;mso-wrap-style:none;z-index:251660288;mso-width-relative:page;mso-height-relative:page;" filled="f" stroked="f" coordsize="21600,21600" o:gfxdata="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zONYNgAAAALAQAADwAAAAAAAAABACAAAAAiAAAAZHJzL2Rvd25yZXYueG1s&#10;UEsBAhQAFAAAAAgAh07iQCSCRrQ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NzViNGY4YTlmNzY3Zjc2OTViOWQ1YzRkYjY5MzIifQ=="/>
  </w:docVars>
  <w:rsids>
    <w:rsidRoot w:val="0C7038C9"/>
    <w:rsid w:val="01BD3CF8"/>
    <w:rsid w:val="07340510"/>
    <w:rsid w:val="0C7038C9"/>
    <w:rsid w:val="0DCF140A"/>
    <w:rsid w:val="18EC4FCB"/>
    <w:rsid w:val="1A1537B2"/>
    <w:rsid w:val="1A4A3522"/>
    <w:rsid w:val="230B3A5A"/>
    <w:rsid w:val="24CD2986"/>
    <w:rsid w:val="265B3A95"/>
    <w:rsid w:val="2A26359B"/>
    <w:rsid w:val="2AEA4E74"/>
    <w:rsid w:val="2B424991"/>
    <w:rsid w:val="3526714E"/>
    <w:rsid w:val="354F5342"/>
    <w:rsid w:val="35656967"/>
    <w:rsid w:val="3FBB1875"/>
    <w:rsid w:val="468D2257"/>
    <w:rsid w:val="49232571"/>
    <w:rsid w:val="4C5E228D"/>
    <w:rsid w:val="4D3A1EC3"/>
    <w:rsid w:val="4F284AB0"/>
    <w:rsid w:val="58117B70"/>
    <w:rsid w:val="5A1529D2"/>
    <w:rsid w:val="5B933F79"/>
    <w:rsid w:val="62E43F27"/>
    <w:rsid w:val="64C55244"/>
    <w:rsid w:val="65DD25BC"/>
    <w:rsid w:val="6BD70A7E"/>
    <w:rsid w:val="6D4B309B"/>
    <w:rsid w:val="743712F3"/>
    <w:rsid w:val="7A9635C4"/>
    <w:rsid w:val="7F32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867</Words>
  <Characters>1094</Characters>
  <Lines>0</Lines>
  <Paragraphs>0</Paragraphs>
  <TotalTime>58</TotalTime>
  <ScaleCrop>false</ScaleCrop>
  <LinksUpToDate>false</LinksUpToDate>
  <CharactersWithSpaces>1094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2020-08-10T03:01:00Z</dcterms:created>
  <dc:creator>Aal izz Well</dc:creator>
  <cp:lastModifiedBy>Administrator</cp:lastModifiedBy>
  <cp:lastPrinted>2023-01-11T11:53:00Z</cp:lastPrinted>
  <dcterms:modified xsi:type="dcterms:W3CDTF">2023-01-11T14:49:26Z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422C23071D544851AB0DFFB5505F2D6A</vt:lpwstr>
  </property>
</Properties>
</file>