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3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11"/>
        <w:gridCol w:w="1036"/>
        <w:gridCol w:w="293"/>
        <w:gridCol w:w="1655"/>
        <w:gridCol w:w="1733"/>
        <w:gridCol w:w="708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2021年市级衔接资金1794.34万元项目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王清平08396601929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目标1：改扩建畜禽标准化养殖场、养殖小区16700平方米，配套相关设施设备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目标2：配套产业园基础设施，园区道路14.12公里，配套产业园蓄水池8个，产业园围网5300米、户办小庭院建设等相关设施建设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目标3：提灌站建设6个。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目标4：有机蔬菜、茶叶基地建设1118亩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改扩建畜禽标准化养殖场、养殖小区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≧16700平方米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园区内生产作业道路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14.12公里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配套产业园蓄水池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产业园围网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≧5300米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建设有机茶叶基地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建设有机蔬菜基地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种植作物存活率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园区内生产作业道路补助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≦39万元/公里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户办小庭院建设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≦5000/个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带动村集体经济收入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特色产业带动增加贫困人口收入（总收入)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≧465万元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特色产业带动增加贫困人口就业人数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≥450人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≧8650人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畜禽养殖条件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带动村集体及脱贫户增收年限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基础设施持续使用年限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3"/>
        <w:tblW w:w="9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45"/>
        <w:gridCol w:w="1076"/>
        <w:gridCol w:w="2019"/>
        <w:gridCol w:w="1378"/>
        <w:gridCol w:w="1089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2021年市级衔接资金25万元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王清平 08396601929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目标1：圈龙粮油现代农业园区金山村土地整治50亩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土地整治50亩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土地整治成本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≤5000元/亩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粮油产业带动农户收入（总收入)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粮油产业带动增加贫困人口就业人数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≥17人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改善农业生产基础设施条件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基础设施持续使用年限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>
      <w:pPr>
        <w:rPr>
          <w:rFonts w:hint="eastAsia" w:ascii="黑体" w:hAnsi="黑体" w:eastAsia="黑体" w:cs="黑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146B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2022-10-22T04:36:12Z</dcterms:created>
  <dc:creator>lenovo</dc:creator>
  <cp:lastModifiedBy>大麟子</cp:lastModifiedBy>
  <dcterms:modified xsi:type="dcterms:W3CDTF">2022-10-22T04:36:47Z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