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2020年省市对剑阁县一般公共预算</w:t>
      </w:r>
    </w:p>
    <w:p>
      <w:pPr>
        <w:suppressAutoHyphens/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转移支付的说明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2020年省市对剑阁县一般公共预算转移支付决算数为350839万元，占预算的103.22%。具体情况如下：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一、税收返还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 年税收返还决算数为 8444 万元，与年初预算数持平。其中：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（一）所得税基数返还为437万元。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（二）成品油税费改革税收返还为1987万元。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（三）增值税和消费税税收返还为3502万元。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（四）增值税收入划分改革返还补助为3421万元。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（五）其他返还（体制上解）为-903万元。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二、一般性转移支付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2020年一般性转移支付决算数为320775万元，比预算数增加11073万元，增长3.58%。其中：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（一）均衡性转移支付决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算数为76379万元，为预算数的100%。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（二）县级基本财力保障机制奖补资金决算数为34416 万元，为预算数的100%。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（三）结算补助决算数为20417万元，为预算数的100%。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（四）产粮（油）大县奖励资金决算数为3944万元，为预算数的100%。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（五）重点生态功能区转移支付决算数为 330 万元，为预算数的100%。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（六）固定数额补助决算数为22239万元，为预算数的100%。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（七）革命老区转移支付决算数为2510万元，为预算数的100%。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（八）贫困地区转移支付决算数为24278万元，为预算数的100%。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（九）共同财政事权转移支付决算数为307233万元，比预算数增加11073万元，增长11.78%。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（十）其他一般性转移支付预算数为5068万元，为预算数的100%。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三、2020年专项转移支付决算数为21620万元，比预算数减少130万元，下降0.6%。原因是资金收入科目由专项转移收入调整为共同财政事权。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zUzMWJmZWYwNTA5YzYwMGNiYzIyNGEyYzc3YTYifQ=="/>
  </w:docVars>
  <w:rsids>
    <w:rsidRoot w:val="6A505409"/>
    <w:rsid w:val="2A0D0F6B"/>
    <w:rsid w:val="31E26AD7"/>
    <w:rsid w:val="6A505409"/>
    <w:rsid w:val="713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697</Characters>
  <Lines>0</Lines>
  <Paragraphs>0</Paragraphs>
  <TotalTime>7</TotalTime>
  <ScaleCrop>false</ScaleCrop>
  <LinksUpToDate>false</LinksUpToDate>
  <CharactersWithSpaces>703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2022-08-15T09:11:00Z</dcterms:created>
  <dc:creator>预算股</dc:creator>
  <cp:lastModifiedBy>预算股</cp:lastModifiedBy>
  <dcterms:modified xsi:type="dcterms:W3CDTF">2022-08-15T14:44:12Z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AFF8A98686514CE6952E6030DDB449A2</vt:lpwstr>
  </property>
</Properties>
</file>